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analytics are revolutionising investment banking with efficiency gains and new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Capital and investment banking have been pioneers in financial innovation, with advanced analytics powered by artificial intelligence (AI) now central to their operations. These technologies have evolved beyond experimental tools to become essential in trading, risk management, client service, and compliance. AI applications range from algorithmic trading and predictive risk modelling to natural-language processing for analysing earnings calls and regulatory filings. Banks use AI-driven analytics to optimise securities pricing, manage balance sheets with greater precision, and enhance real-time client interaction, leading to significant performance improvements and operational efficiencies.</w:t>
      </w:r>
      <w:r/>
    </w:p>
    <w:p>
      <w:r/>
      <w:r>
        <w:t>Generative AI and other machine learning models increase front-office productivity substantially, with some estimates suggesting potential gains of up to 35% per employee, driving additional revenue generation. Automation and AI-supported agile operations also improve efficiency ratios by as much as 15 percentage points, streamlining processes such as Know Your Customer (KYC) verification, compliance tracking, transaction processing, and fraud detection. This not only reduces operational expenses but also enhances the scale and speed of banking functions, with AI systems capable of processing data quantities hundreds of times greater than traditional platforms, according to sector analyses. As a result, institutions can focus more on strategic decision-making supported by real-time dashboards that synthesise complex market data and news sentiment.</w:t>
      </w:r>
      <w:r/>
    </w:p>
    <w:p>
      <w:r/>
      <w:r>
        <w:t>By simulating numerous scenarios, banks can price derivatives more accurately and tailor products to meet individual client needs, while AI tools enable the early identification and mitigation of risks. Regulators are increasingly interested in employing AI for real-time systemic risk oversight and stress testing, with potential mandates forthcoming. However, reliance on similar AI models across institutions poses notable risks. The widespread use of comparable data sets can lead to crowded trades, herding behaviour, and sudden market disruptions, such as flash crashes. Additionally, the opaque nature of some deep-learning systems complicates risk management, underscoring the need for diverse modelling methods, human oversight, and regulatory safeguards including circuit breakers.</w:t>
      </w:r>
      <w:r/>
    </w:p>
    <w:p>
      <w:r/>
      <w:r>
        <w:t>The benefits of AI-driven analytics primarily accrue to investment banks and institutional investors through improved market transparency, cost efficiencies, and enhanced client retention. Retail investors stand to gain from personalised portfolio management at reduced costs, though this demands increased financial literacy to prevent over-reliance on automated advice. Small and medium-sized enterprises (SMEs) could benefit through reduced capital costs and faster credit decisions via AI-driven risk assessments using transactional data, provided data access remains equitable and privacy protections are rigorously enforced. Yet, there is concern that biases in AI models, particularly those trained on digital footprints, may inadvertently disadvantage vulnerable groups such as entrepreneurs from minority backgrounds or immigrants.</w:t>
      </w:r>
      <w:r/>
    </w:p>
    <w:p>
      <w:r/>
      <w:r>
        <w:t>Challenges in AI adoption include data quality issues, uneven integration across banking functions, and regulatory uncertainty, especially with upcoming frameworks like the EU's Digital Operational Resilience Act (DORA). Bias audits, explainability measures, robust data governance, and adaptive regulatory sandboxes are key to addressing these concerns. Human oversight remains critical in mitigating model risk, particularly to prevent failure in volatile or stress scenarios. Cross-disciplinary talent development and industry collaboration among banks, fintechs, regulators, and academia are essential to establishing standards and sharing best practices as AI technologies mature.</w:t>
      </w:r>
      <w:r/>
    </w:p>
    <w:p>
      <w:r/>
      <w:r>
        <w:t>Looking forward, AI-driven analytics in investment banking will increasingly integrate with emerging technologies like quantum computing, which promises exponential improvements in risk modelling and portfolio optimisation. Large language models (LLMs) are evolving beyond document summarisation to generating investment ideas and drafting research. Open finance initiatives and interoperable APIs are broadening data access, potentially democratizing market participation. AI is also advancing environmental, social, and governance (ESG) analytics by processing complex climate data and satellite imagery to better quantify risks and align investment portfolios with sustainability goals.</w:t>
      </w:r>
      <w:r/>
    </w:p>
    <w:p>
      <w:r/>
      <w:r>
        <w:t>While AI-powered analytics hold the promise of transforming capital markets through enhanced precision, personalised service, and broader access to capital, balancing these benefits against risks remains paramount. Ensuring robust ethical standards, inclusivity, and resilience will determine whether AI's integration into investment banking results in more stable markets and expanded opportunities for a wider range of participants, including underserved SMEs and retail investors.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(TechStory), </w:t>
      </w:r>
      <w:hyperlink r:id="rId10">
        <w:r>
          <w:rPr>
            <w:color w:val="0000EE"/>
            <w:u w:val="single"/>
          </w:rPr>
          <w:t>[2]</w:t>
        </w:r>
      </w:hyperlink>
      <w:r>
        <w:t xml:space="preserve"> (Deloitte), </w:t>
      </w:r>
      <w:hyperlink r:id="rId11">
        <w:r>
          <w:rPr>
            <w:color w:val="0000EE"/>
            <w:u w:val="single"/>
          </w:rPr>
          <w:t>[7]</w:t>
        </w:r>
      </w:hyperlink>
      <w:r>
        <w:t xml:space="preserve"> (Magistral Consulting)</w:t>
      </w:r>
      <w:r/>
    </w:p>
    <w:p>
      <w:pPr>
        <w:pStyle w:val="ListBullet"/>
        <w:spacing w:line="240" w:lineRule="auto"/>
        <w:ind w:left="720"/>
      </w:pPr>
      <w:r/>
      <w:r>
        <w:t xml:space="preserve">Paragraph 2 – </w:t>
      </w:r>
      <w:hyperlink r:id="rId10">
        <w:r>
          <w:rPr>
            <w:color w:val="0000EE"/>
            <w:u w:val="single"/>
          </w:rPr>
          <w:t>[2]</w:t>
        </w:r>
      </w:hyperlink>
      <w:r>
        <w:t xml:space="preserve"> (Deloitte), </w:t>
      </w:r>
      <w:hyperlink r:id="rId12">
        <w:r>
          <w:rPr>
            <w:color w:val="0000EE"/>
            <w:u w:val="single"/>
          </w:rPr>
          <w:t>[3]</w:t>
        </w:r>
      </w:hyperlink>
      <w:r>
        <w:t xml:space="preserve"> (PwC), </w:t>
      </w:r>
      <w:hyperlink r:id="rId11">
        <w:r>
          <w:rPr>
            <w:color w:val="0000EE"/>
            <w:u w:val="single"/>
          </w:rPr>
          <w:t>[7]</w:t>
        </w:r>
      </w:hyperlink>
      <w:r>
        <w:t xml:space="preserve"> (Magistral Consulting)</w:t>
      </w:r>
      <w:r/>
    </w:p>
    <w:p>
      <w:pPr>
        <w:pStyle w:val="ListBullet"/>
        <w:spacing w:line="240" w:lineRule="auto"/>
        <w:ind w:left="720"/>
      </w:pPr>
      <w:r/>
      <w:r>
        <w:t xml:space="preserve">Paragraph 3 – </w:t>
      </w:r>
      <w:hyperlink r:id="rId9">
        <w:r>
          <w:rPr>
            <w:color w:val="0000EE"/>
            <w:u w:val="single"/>
          </w:rPr>
          <w:t>[1]</w:t>
        </w:r>
      </w:hyperlink>
      <w:r>
        <w:t xml:space="preserve"> (TechStory), </w:t>
      </w:r>
      <w:hyperlink r:id="rId13">
        <w:r>
          <w:rPr>
            <w:color w:val="0000EE"/>
            <w:u w:val="single"/>
          </w:rPr>
          <w:t>[4]</w:t>
        </w:r>
      </w:hyperlink>
      <w:r>
        <w:t xml:space="preserve"> (S&amp;P Global)</w:t>
      </w:r>
      <w:r/>
    </w:p>
    <w:p>
      <w:pPr>
        <w:pStyle w:val="ListBullet"/>
        <w:spacing w:line="240" w:lineRule="auto"/>
        <w:ind w:left="720"/>
      </w:pPr>
      <w:r/>
      <w:r>
        <w:t xml:space="preserve">Paragraph 4 – </w:t>
      </w:r>
      <w:hyperlink r:id="rId9">
        <w:r>
          <w:rPr>
            <w:color w:val="0000EE"/>
            <w:u w:val="single"/>
          </w:rPr>
          <w:t>[1]</w:t>
        </w:r>
      </w:hyperlink>
      <w:r>
        <w:t xml:space="preserve"> (TechStory), </w:t>
      </w:r>
      <w:hyperlink r:id="rId13">
        <w:r>
          <w:rPr>
            <w:color w:val="0000EE"/>
            <w:u w:val="single"/>
          </w:rPr>
          <w:t>[4]</w:t>
        </w:r>
      </w:hyperlink>
      <w:r>
        <w:t xml:space="preserve"> (S&amp;P Global)</w:t>
      </w:r>
      <w:r/>
    </w:p>
    <w:p>
      <w:pPr>
        <w:pStyle w:val="ListBullet"/>
        <w:spacing w:line="240" w:lineRule="auto"/>
        <w:ind w:left="720"/>
      </w:pPr>
      <w:r/>
      <w:r>
        <w:t xml:space="preserve">Paragraph 5 – </w:t>
      </w:r>
      <w:hyperlink r:id="rId9">
        <w:r>
          <w:rPr>
            <w:color w:val="0000EE"/>
            <w:u w:val="single"/>
          </w:rPr>
          <w:t>[1]</w:t>
        </w:r>
      </w:hyperlink>
      <w:r>
        <w:t xml:space="preserve"> (TechStory)</w:t>
      </w:r>
      <w:r/>
    </w:p>
    <w:p>
      <w:pPr>
        <w:pStyle w:val="ListBullet"/>
        <w:spacing w:line="240" w:lineRule="auto"/>
        <w:ind w:left="720"/>
      </w:pPr>
      <w:r/>
      <w:r>
        <w:t xml:space="preserve">Paragraph 6 – </w:t>
      </w:r>
      <w:hyperlink r:id="rId9">
        <w:r>
          <w:rPr>
            <w:color w:val="0000EE"/>
            <w:u w:val="single"/>
          </w:rPr>
          <w:t>[1]</w:t>
        </w:r>
      </w:hyperlink>
      <w:r>
        <w:t xml:space="preserve"> (TechStory)</w:t>
      </w:r>
      <w:r/>
    </w:p>
    <w:p>
      <w:pPr>
        <w:pStyle w:val="ListBullet"/>
        <w:spacing w:line="240" w:lineRule="auto"/>
        <w:ind w:left="720"/>
      </w:pPr>
      <w:r/>
      <w:r>
        <w:t xml:space="preserve">Paragraph 7 – </w:t>
      </w:r>
      <w:hyperlink r:id="rId9">
        <w:r>
          <w:rPr>
            <w:color w:val="0000EE"/>
            <w:u w:val="single"/>
          </w:rPr>
          <w:t>[1]</w:t>
        </w:r>
      </w:hyperlink>
      <w:r>
        <w:t xml:space="preserve"> (TechStory), </w:t>
      </w:r>
      <w:hyperlink r:id="rId13">
        <w:r>
          <w:rPr>
            <w:color w:val="0000EE"/>
            <w:u w:val="single"/>
          </w:rPr>
          <w:t>[4]</w:t>
        </w:r>
      </w:hyperlink>
      <w:r>
        <w:t xml:space="preserve"> (S&amp;P Global)</w:t>
      </w:r>
      <w:r/>
    </w:p>
    <w:p>
      <w:pPr>
        <w:pStyle w:val="ListBullet"/>
        <w:spacing w:line="240" w:lineRule="auto"/>
        <w:ind w:left="720"/>
      </w:pPr>
      <w:r/>
      <w:r>
        <w:t xml:space="preserve">Paragraph 8 – </w:t>
      </w:r>
      <w:hyperlink r:id="rId9">
        <w:r>
          <w:rPr>
            <w:color w:val="0000EE"/>
            <w:u w:val="single"/>
          </w:rPr>
          <w:t>[1]</w:t>
        </w:r>
      </w:hyperlink>
      <w:r>
        <w:t xml:space="preserve"> (TechStory)</w:t>
      </w:r>
      <w:r/>
    </w:p>
    <w:p>
      <w:pPr>
        <w:pStyle w:val="ListBullet"/>
        <w:spacing w:line="240" w:lineRule="auto"/>
        <w:ind w:left="720"/>
      </w:pPr>
      <w:r/>
      <w:r>
        <w:t xml:space="preserve">Paragraph 9 – </w:t>
      </w:r>
      <w:hyperlink r:id="rId9">
        <w:r>
          <w:rPr>
            <w:color w:val="0000EE"/>
            <w:u w:val="single"/>
          </w:rPr>
          <w:t>[1]</w:t>
        </w:r>
      </w:hyperlink>
      <w:r>
        <w:t xml:space="preserve"> (TechStory)</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https://techstory.in/ai-driven-advanced-analytics-in-investment-banking-performance-stability-and-inclusive-opportunity/</w:t>
        </w:r>
      </w:hyperlink>
      <w:r>
        <w:t xml:space="preserve"> - Please view link - unable to able to access data</w:t>
      </w:r>
      <w:r/>
    </w:p>
    <w:p>
      <w:pPr>
        <w:pStyle w:val="ListNumber"/>
        <w:spacing w:line="240" w:lineRule="auto"/>
        <w:ind w:left="720"/>
      </w:pPr>
      <w:r/>
      <w:hyperlink r:id="rId10">
        <w:r>
          <w:rPr>
            <w:color w:val="0000EE"/>
            <w:u w:val="single"/>
          </w:rPr>
          <w:t>https://www.deloitte.com/us/en/insights/industry/financial-services/generative-ai-in-investment-banking.html</w:t>
        </w:r>
      </w:hyperlink>
      <w:r>
        <w:t xml:space="preserve"> - This article from Deloitte discusses how generative AI technologies are transforming investment banking by enhancing employee productivity, improving customer experience, and fostering rapid innovation. It highlights the potential for AI to boost front-office productivity by up to 35%, resulting in additional revenue per employee. The piece also explores various applications of AI in the sector, including algorithmic trading, risk management, and client service, and addresses the challenges and opportunities associated with AI adoption in investment banking.</w:t>
      </w:r>
      <w:r/>
    </w:p>
    <w:p>
      <w:pPr>
        <w:pStyle w:val="ListNumber"/>
        <w:spacing w:line="240" w:lineRule="auto"/>
        <w:ind w:left="720"/>
      </w:pPr>
      <w:r/>
      <w:hyperlink r:id="rId12">
        <w:r>
          <w:rPr>
            <w:color w:val="0000EE"/>
            <w:u w:val="single"/>
          </w:rPr>
          <w:t>https://www.pwc.com/us/en/industries/financial-services/library/how-ai-is-reshaping-banking.html</w:t>
        </w:r>
      </w:hyperlink>
      <w:r>
        <w:t xml:space="preserve"> - PwC's article examines the profound impact of artificial intelligence on the banking industry, emphasizing its role in driving structural transformation. It highlights how AI, including generative AI, is improving efficiency ratios by up to 15 percentage points through intelligent automation and agile operations. The piece also discusses the dual benefits of AI in banking: growing revenue by meeting the right customers with the right message at the right time, and cost transformation through automation and agile operations.</w:t>
      </w:r>
      <w:r/>
    </w:p>
    <w:p>
      <w:pPr>
        <w:pStyle w:val="ListNumber"/>
        <w:spacing w:line="240" w:lineRule="auto"/>
        <w:ind w:left="720"/>
      </w:pPr>
      <w:r/>
      <w:hyperlink r:id="rId13">
        <w:r>
          <w:rPr>
            <w:color w:val="0000EE"/>
            <w:u w:val="single"/>
          </w:rPr>
          <w:t>https://www.spglobal.com/en/research-insights/special-reports/ai-and-banking-leaders-will-soon-pull-away-from-the-pack</w:t>
        </w:r>
      </w:hyperlink>
      <w:r>
        <w:t xml:space="preserve"> - S&amp;P Global's report explores the rapid adoption of advanced AI in banking, noting that banks are shifting from rule-based automation to intelligent and autonomous systems that support decision-making. It discusses the potential risks associated with AI, including human-machine misalignment, herding of automated actions, privacy and security risks, and financial instability. The report predicts that within three to five years, AI readiness will significantly differentiate leading banks from laggards.</w:t>
      </w:r>
      <w:r/>
    </w:p>
    <w:p>
      <w:pPr>
        <w:pStyle w:val="ListNumber"/>
        <w:spacing w:line="240" w:lineRule="auto"/>
        <w:ind w:left="720"/>
      </w:pPr>
      <w:r/>
      <w:hyperlink r:id="rId15">
        <w:r>
          <w:rPr>
            <w:color w:val="0000EE"/>
            <w:u w:val="single"/>
          </w:rPr>
          <w:t>https://www2.deloitte.com/us/en/insights/industry/financial-services/financial-services-industry-predictions/2024/private-markets-innovation-leveraging-ai-for-portfolio-management.html</w:t>
        </w:r>
      </w:hyperlink>
      <w:r>
        <w:t xml:space="preserve"> - Deloitte's article focuses on the use of artificial intelligence in private equity portfolio management. It discusses how AI can accelerate the portfolio valuation process, leading to more frequent valuations and enhanced transparency. The piece highlights that by the end of the first half of 2023, less than 10% of private funds had implemented AI in core functions, but predicts that over the next five to seven years, as many as 25% of private equity firms are expected to use AI to augment their portfolio valuations.</w:t>
      </w:r>
      <w:r/>
    </w:p>
    <w:p>
      <w:pPr>
        <w:pStyle w:val="ListNumber"/>
        <w:spacing w:line="240" w:lineRule="auto"/>
        <w:ind w:left="720"/>
      </w:pPr>
      <w:r/>
      <w:hyperlink r:id="rId16">
        <w:r>
          <w:rPr>
            <w:color w:val="0000EE"/>
            <w:u w:val="single"/>
          </w:rPr>
          <w:t>https://link.springer.com/article/10.1007/s44163-025-00465-9</w:t>
        </w:r>
      </w:hyperlink>
      <w:r>
        <w:t xml:space="preserve"> - This article examines the role of artificial intelligence in enhancing the performance expectancy of financial technologies within FinTech applications. It discusses how AI functionalities, such as predictive analytics, tailored financial advice, and automated decision-making, have significantly improved the efficiency, accuracy, and reliability of FinTech platforms. The study highlights that AI's ability to automate complex processes and provide real-time financial insights boosts user confidence in the technology's ability to meet their financial goals.</w:t>
      </w:r>
      <w:r/>
    </w:p>
    <w:p>
      <w:pPr>
        <w:pStyle w:val="ListNumber"/>
        <w:spacing w:line="240" w:lineRule="auto"/>
        <w:ind w:left="720"/>
      </w:pPr>
      <w:r/>
      <w:hyperlink r:id="rId11">
        <w:r>
          <w:rPr>
            <w:color w:val="0000EE"/>
            <w:u w:val="single"/>
          </w:rPr>
          <w:t>https://magistralconsulting.com/future-of-finance-ai-in-investment-banking-2025/</w:t>
        </w:r>
      </w:hyperlink>
      <w:r>
        <w:t xml:space="preserve"> - Magistral Consulting's article explores how artificial intelligence is reshaping the banking industry, particularly in investment banking. It discusses the significant increase in speed and efficiency due to AI, enabling real-time processing and scale automation. The piece highlights that AI-based systems can process up to 100 times more data per second compared to conventional platforms, providing instant access to actionable information. It also notes that AI is streamlining processes like KYC verification, compliance tracking, and transaction processing, leading to substantial decreases in operational expenses.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story.in/ai-driven-advanced-analytics-in-investment-banking-performance-stability-and-inclusive-opportunity/" TargetMode="External"/><Relationship Id="rId10" Type="http://schemas.openxmlformats.org/officeDocument/2006/relationships/hyperlink" Target="https://www.deloitte.com/us/en/insights/industry/financial-services/generative-ai-in-investment-banking.html" TargetMode="External"/><Relationship Id="rId11" Type="http://schemas.openxmlformats.org/officeDocument/2006/relationships/hyperlink" Target="https://magistralconsulting.com/future-of-finance-ai-in-investment-banking-2025/" TargetMode="External"/><Relationship Id="rId12" Type="http://schemas.openxmlformats.org/officeDocument/2006/relationships/hyperlink" Target="https://www.pwc.com/us/en/industries/financial-services/library/how-ai-is-reshaping-banking.html" TargetMode="External"/><Relationship Id="rId13" Type="http://schemas.openxmlformats.org/officeDocument/2006/relationships/hyperlink" Target="https://www.spglobal.com/en/research-insights/special-reports/ai-and-banking-leaders-will-soon-pull-away-from-the-pack" TargetMode="External"/><Relationship Id="rId14" Type="http://schemas.openxmlformats.org/officeDocument/2006/relationships/hyperlink" Target="https://www.noahwire.com" TargetMode="External"/><Relationship Id="rId15" Type="http://schemas.openxmlformats.org/officeDocument/2006/relationships/hyperlink" Target="https://www2.deloitte.com/us/en/insights/industry/financial-services/financial-services-industry-predictions/2024/private-markets-innovation-leveraging-ai-for-portfolio-management.html" TargetMode="External"/><Relationship Id="rId16" Type="http://schemas.openxmlformats.org/officeDocument/2006/relationships/hyperlink" Target="https://link.springer.com/article/10.1007/s44163-025-0046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