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Microsoft’s 27% stake in OpenAI signals a new era of AI dominance and geopolitical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Microsoft has significantly deepened its commitment to artificial intelligence by securing a 27% stake in OpenAI, marking a new phase in the tech giant’s strategic positioning in the AI industry. This investment forms part of a long-standing collaboration that has seen Microsoft inject more than $13 billion into OpenAI since 2019. The latest valuation places OpenAI at approximately $135 billion, highlighting the company’s transformation from a startup into a pivotal AI ecosystem player supported by various major technology stakeholders.</w:t>
      </w:r>
      <w:r/>
    </w:p>
    <w:p>
      <w:r/>
      <w:r>
        <w:t>This move not only solidifies Microsoft’s influence over OpenAI’s strategic decisions but is also tied to a mutually beneficial commercial arrangement that includes an agreement for OpenAI to purchase $250 billion worth of Azure cloud services. According to Microsoft’s official announcement, this partnership aims to advance artificial intelligence in a responsible manner while making its benefits widely accessible. The arrangement allows OpenAI to restructure itself as a public benefit corporation, granting it greater operational freedom to raise capital and develop its AI offerings more flexibly, while Microsoft retains substantial intellectual rights and balance in the collaboration.</w:t>
      </w:r>
      <w:r/>
    </w:p>
    <w:p>
      <w:r/>
      <w:r>
        <w:t>OpenAI’s growing ecosystem features crucial partners beyond Microsoft, including NVIDIA, which supplies critical AI training chips, Oracle, which provides robust cloud infrastructure, and SoftBank as a strategic investor. Governments and sovereign entities have also shown interest, heightening the geopolitical dimensions of AI development. Meanwhile, competitors such as Google, Amazon, and Meta are accelerating their own AI initiatives—like Google’s Gemini, Amazon’s Bedrock, and Meta’s Llama—to challenge the Microsoft-OpenAI alliance.</w:t>
      </w:r>
      <w:r/>
    </w:p>
    <w:p>
      <w:r/>
      <w:r>
        <w:t>This concentration of power in the AI sector raises questions about market competition and innovation. While the collaboration boosts technological progress and accelerates AI adoption across businesses, there are concerns about potential monopolistic tendencies that might limit opportunities for smaller companies and startups in the technology landscape.</w:t>
      </w:r>
      <w:r/>
    </w:p>
    <w:p>
      <w:r/>
      <w:r>
        <w:t>In addition to the corporate alliances, the financial landscape surrounding AI is undergoing changes. Emerging AI tokens, which operate within decentralized AI platforms, are gaining traction as an alternative asset class to traditional cryptocurrencies like bitcoin. These tokens promise concrete utility within the evolving AI ecosystems, yet they face regulatory scrutiny over risks of speculation and manipulation. Whether these AI tokens will complement or challenge established cryptocurrencies remains uncertain, but their rise indicates a potential reshaping of economic frameworks driven by artificial intelligence.</w:t>
      </w:r>
      <w:r/>
    </w:p>
    <w:p>
      <w:r/>
      <w:r>
        <w:t>Overall, Microsoft’s acquisition of a 27% stake in OpenAI and the surrounding ecosystem dynamics underscores a crucial turning point in the AI industry, promising to accelerate innovation while prompting critical reflection on competitive balance and economic impact in this rapidly evolving field.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Cointribune, </w:t>
      </w:r>
      <w:hyperlink r:id="rId10">
        <w:r>
          <w:rPr>
            <w:color w:val="0000EE"/>
            <w:u w:val="single"/>
          </w:rPr>
          <w:t>[2]</w:t>
        </w:r>
      </w:hyperlink>
      <w:r>
        <w:t xml:space="preserve"> Microsoft Blog, </w:t>
      </w:r>
      <w:hyperlink r:id="rId11">
        <w:r>
          <w:rPr>
            <w:color w:val="0000EE"/>
            <w:u w:val="single"/>
          </w:rPr>
          <w:t>[3]</w:t>
        </w:r>
      </w:hyperlink>
      <w:r>
        <w:t xml:space="preserve"> Reuters </w:t>
      </w:r>
      <w:r/>
    </w:p>
    <w:p>
      <w:pPr>
        <w:pStyle w:val="ListBullet"/>
        <w:spacing w:line="240" w:lineRule="auto"/>
        <w:ind w:left="720"/>
      </w:pPr>
      <w:r/>
      <w:r>
        <w:t xml:space="preserve">Paragraph 2 – </w:t>
      </w:r>
      <w:hyperlink r:id="rId10">
        <w:r>
          <w:rPr>
            <w:color w:val="0000EE"/>
            <w:u w:val="single"/>
          </w:rPr>
          <w:t>[2]</w:t>
        </w:r>
      </w:hyperlink>
      <w:r>
        <w:t xml:space="preserve"> Microsoft Blog, </w:t>
      </w:r>
      <w:hyperlink r:id="rId11">
        <w:r>
          <w:rPr>
            <w:color w:val="0000EE"/>
            <w:u w:val="single"/>
          </w:rPr>
          <w:t>[3]</w:t>
        </w:r>
      </w:hyperlink>
      <w:r>
        <w:t xml:space="preserve"> Reuters, </w:t>
      </w:r>
      <w:hyperlink r:id="rId12">
        <w:r>
          <w:rPr>
            <w:color w:val="0000EE"/>
            <w:u w:val="single"/>
          </w:rPr>
          <w:t>[5]</w:t>
        </w:r>
      </w:hyperlink>
      <w:r>
        <w:t xml:space="preserve"> Strait Times </w:t>
      </w:r>
      <w:r/>
    </w:p>
    <w:p>
      <w:pPr>
        <w:pStyle w:val="ListBullet"/>
        <w:spacing w:line="240" w:lineRule="auto"/>
        <w:ind w:left="720"/>
      </w:pPr>
      <w:r/>
      <w:r>
        <w:t xml:space="preserve">Paragraph 3 – </w:t>
      </w:r>
      <w:hyperlink r:id="rId9">
        <w:r>
          <w:rPr>
            <w:color w:val="0000EE"/>
            <w:u w:val="single"/>
          </w:rPr>
          <w:t>[1]</w:t>
        </w:r>
      </w:hyperlink>
      <w:r>
        <w:t xml:space="preserve"> Cointribune, </w:t>
      </w:r>
      <w:hyperlink r:id="rId9">
        <w:r>
          <w:rPr>
            <w:color w:val="0000EE"/>
            <w:u w:val="single"/>
          </w:rPr>
          <w:t>[7]</w:t>
        </w:r>
      </w:hyperlink>
      <w:r>
        <w:t xml:space="preserve"> Cointribune, </w:t>
      </w:r>
      <w:hyperlink r:id="rId13">
        <w:r>
          <w:rPr>
            <w:color w:val="0000EE"/>
            <w:u w:val="single"/>
          </w:rPr>
          <w:t>[4]</w:t>
        </w:r>
      </w:hyperlink>
      <w:r>
        <w:t xml:space="preserve"> GeekWire </w:t>
      </w:r>
      <w:r/>
    </w:p>
    <w:p>
      <w:pPr>
        <w:pStyle w:val="ListBullet"/>
        <w:spacing w:line="240" w:lineRule="auto"/>
        <w:ind w:left="720"/>
      </w:pPr>
      <w:r/>
      <w:r>
        <w:t xml:space="preserve">Paragraph 4 – </w:t>
      </w:r>
      <w:hyperlink r:id="rId9">
        <w:r>
          <w:rPr>
            <w:color w:val="0000EE"/>
            <w:u w:val="single"/>
          </w:rPr>
          <w:t>[1]</w:t>
        </w:r>
      </w:hyperlink>
      <w:r>
        <w:t xml:space="preserve"> Cointribune, </w:t>
      </w:r>
      <w:hyperlink r:id="rId9">
        <w:r>
          <w:rPr>
            <w:color w:val="0000EE"/>
            <w:u w:val="single"/>
          </w:rPr>
          <w:t>[7]</w:t>
        </w:r>
      </w:hyperlink>
      <w:r>
        <w:t xml:space="preserve"> Cointribune </w:t>
      </w:r>
      <w:r/>
    </w:p>
    <w:p>
      <w:pPr>
        <w:pStyle w:val="ListBullet"/>
        <w:spacing w:line="240" w:lineRule="auto"/>
        <w:ind w:left="720"/>
      </w:pPr>
      <w:r/>
      <w:r>
        <w:t xml:space="preserve">Paragraph 5 – </w:t>
      </w:r>
      <w:hyperlink r:id="rId9">
        <w:r>
          <w:rPr>
            <w:color w:val="0000EE"/>
            <w:u w:val="single"/>
          </w:rPr>
          <w:t>[1]</w:t>
        </w:r>
      </w:hyperlink>
      <w:r>
        <w:t xml:space="preserve"> Cointribune, </w:t>
      </w:r>
      <w:hyperlink r:id="rId9">
        <w:r>
          <w:rPr>
            <w:color w:val="0000EE"/>
            <w:u w:val="single"/>
          </w:rPr>
          <w:t>[7]</w:t>
        </w:r>
      </w:hyperlink>
      <w:r>
        <w:t xml:space="preserve"> Cointribune</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https://www.cointribune.com/en/ai-microsoft-takes-27-of-openai/</w:t>
        </w:r>
      </w:hyperlink>
      <w:r>
        <w:t xml:space="preserve"> - Please view link - unable to able to access data</w:t>
      </w:r>
      <w:r/>
    </w:p>
    <w:p>
      <w:pPr>
        <w:pStyle w:val="ListNumber"/>
        <w:spacing w:line="240" w:lineRule="auto"/>
        <w:ind w:left="720"/>
      </w:pPr>
      <w:r/>
      <w:hyperlink r:id="rId10">
        <w:r>
          <w:rPr>
            <w:color w:val="0000EE"/>
            <w:u w:val="single"/>
          </w:rPr>
          <w:t>https://blogs.microsoft.com/blog/2025/10/28/the-next-chapter-of-the-microsoft-openai-partnership/</w:t>
        </w:r>
      </w:hyperlink>
      <w:r>
        <w:t xml:space="preserve"> - Microsoft and OpenAI have announced a new agreement, with Microsoft holding a 27% stake in OpenAI Group PBC, valued at approximately $135 billion. This partnership aims to advance artificial intelligence responsibly and make its benefits broadly accessible. The agreement also includes a commitment for OpenAI to purchase $250 billion worth of Azure services, further solidifying the collaboration between the two companies.</w:t>
      </w:r>
      <w:r/>
    </w:p>
    <w:p>
      <w:pPr>
        <w:pStyle w:val="ListNumber"/>
        <w:spacing w:line="240" w:lineRule="auto"/>
        <w:ind w:left="720"/>
      </w:pPr>
      <w:r/>
      <w:hyperlink r:id="rId11">
        <w:r>
          <w:rPr>
            <w:color w:val="0000EE"/>
            <w:u w:val="single"/>
          </w:rPr>
          <w:t>https://www.reuters.com/business/microsoft-openai-reach-new-deal-allow-openai-restructure-2025-10-28/</w:t>
        </w:r>
      </w:hyperlink>
      <w:r>
        <w:t xml:space="preserve"> - Microsoft and OpenAI have reached a landmark agreement valuing OpenAI at $500 billion. This deal allows OpenAI to restructure as a public benefit corporation, providing it with more operational freedom and the ability to raise capital more easily. Microsoft retains a 27% stake worth about $135 billion after investing $13.8 billion, securing a near 10-fold return. The agreement also includes a massive $250 billion cloud computing contract with Microsoft Azure.</w:t>
      </w:r>
      <w:r/>
    </w:p>
    <w:p>
      <w:pPr>
        <w:pStyle w:val="ListNumber"/>
        <w:spacing w:line="240" w:lineRule="auto"/>
        <w:ind w:left="720"/>
      </w:pPr>
      <w:r/>
      <w:hyperlink r:id="rId13">
        <w:r>
          <w:rPr>
            <w:color w:val="0000EE"/>
            <w:u w:val="single"/>
          </w:rPr>
          <w:t>https://www.geekwire.com/2025/microsoft-secures-27-stake-in-openai-in-new-deal-with-commitment-for-250b-in-azure-usage/</w:t>
        </w:r>
      </w:hyperlink>
      <w:r>
        <w:t xml:space="preserve"> - Microsoft and OpenAI have announced a new partnership agreement, with Microsoft obtaining a 27% equity stake in OpenAI's new for-profit entity, OpenAI Group PBC, valued at approximately $135 billion. OpenAI has committed to purchasing an additional $250 billion in Microsoft Azure cloud services. This deal marks a significant evolution in their collaboration, providing both companies with greater operational flexibility while maintaining their close relationship in AI development.</w:t>
      </w:r>
      <w:r/>
    </w:p>
    <w:p>
      <w:pPr>
        <w:pStyle w:val="ListNumber"/>
        <w:spacing w:line="240" w:lineRule="auto"/>
        <w:ind w:left="720"/>
      </w:pPr>
      <w:r/>
      <w:hyperlink r:id="rId12">
        <w:r>
          <w:rPr>
            <w:color w:val="0000EE"/>
            <w:u w:val="single"/>
          </w:rPr>
          <w:t>https://www.straitstimes.com/business/companies-markets/microsoft-holds-27-of-openai-in-revamped-partnership</w:t>
        </w:r>
      </w:hyperlink>
      <w:r>
        <w:t xml:space="preserve"> - Microsoft and OpenAI have restructured their partnership, granting both companies greater independence while maintaining close collaboration. Microsoft retains a 27% stake in OpenAI, valued at $135 billion, and extended intellectual rights to 2032. OpenAI gains flexibility to develop products with others, with Microsoft free to pursue AGI independently. This move aims to accelerate AI development and address competition from other tech giants.</w:t>
      </w:r>
      <w:r/>
    </w:p>
    <w:p>
      <w:pPr>
        <w:pStyle w:val="ListNumber"/>
        <w:spacing w:line="240" w:lineRule="auto"/>
        <w:ind w:left="720"/>
      </w:pPr>
      <w:r/>
      <w:hyperlink r:id="rId15">
        <w:r>
          <w:rPr>
            <w:color w:val="0000EE"/>
            <w:u w:val="single"/>
          </w:rPr>
          <w:t>https://time.com/7329062/openai-microsoft-investment-restructure/</w:t>
        </w:r>
      </w:hyperlink>
      <w:r>
        <w:t xml:space="preserve"> - OpenAI has completed a major reorganization, splitting into two entities: the OpenAI Foundation, a nonprofit, and OpenAI Group PBC, a for-profit public benefit corporation. The nonprofit foundation will hold a $130 billion stake in the for-profit arm, and both entities will collaborate on advancing artificial intelligence for the public good, promoting safety, scientific discovery, and global cooperation. This move follows OpenAI’s transition from a nonprofit to a capped-profit model in 2019.</w:t>
      </w:r>
      <w:r/>
    </w:p>
    <w:p>
      <w:pPr>
        <w:pStyle w:val="ListNumber"/>
        <w:spacing w:line="240" w:lineRule="auto"/>
        <w:ind w:left="720"/>
      </w:pPr>
      <w:r/>
      <w:hyperlink r:id="rId9">
        <w:r>
          <w:rPr>
            <w:color w:val="0000EE"/>
            <w:u w:val="single"/>
          </w:rPr>
          <w:t>https://www.cointribune.com/en/ai-microsoft-takes-27-of-openai/</w:t>
        </w:r>
      </w:hyperlink>
      <w:r>
        <w:t xml:space="preserve"> - Microsoft now holds a 27% stake in OpenAI, consolidating its leadership in AI with an investment exceeding $13 billion. OpenAI establishes itself as a strategic ecosystem, supported by major players like NVIDIA, Oracle, and governments. AI tokens emerge as an alternative to traditional cryptos like bitcoin, raising questions about their potential to dominate the economy.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intribune.com/en/ai-microsoft-takes-27-of-openai/" TargetMode="External"/><Relationship Id="rId10" Type="http://schemas.openxmlformats.org/officeDocument/2006/relationships/hyperlink" Target="https://blogs.microsoft.com/blog/2025/10/28/the-next-chapter-of-the-microsoft-openai-partnership/" TargetMode="External"/><Relationship Id="rId11" Type="http://schemas.openxmlformats.org/officeDocument/2006/relationships/hyperlink" Target="https://www.reuters.com/business/microsoft-openai-reach-new-deal-allow-openai-restructure-2025-10-28/" TargetMode="External"/><Relationship Id="rId12" Type="http://schemas.openxmlformats.org/officeDocument/2006/relationships/hyperlink" Target="https://www.straitstimes.com/business/companies-markets/microsoft-holds-27-of-openai-in-revamped-partnership" TargetMode="External"/><Relationship Id="rId13" Type="http://schemas.openxmlformats.org/officeDocument/2006/relationships/hyperlink" Target="https://www.geekwire.com/2025/microsoft-secures-27-stake-in-openai-in-new-deal-with-commitment-for-250b-in-azure-usage/" TargetMode="External"/><Relationship Id="rId14" Type="http://schemas.openxmlformats.org/officeDocument/2006/relationships/hyperlink" Target="https://www.noahwire.com" TargetMode="External"/><Relationship Id="rId15" Type="http://schemas.openxmlformats.org/officeDocument/2006/relationships/hyperlink" Target="https://time.com/7329062/openai-microsoft-investment-restru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