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strengthens global influence through project logistics M&amp;A despite limited physical capacity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Although the United Kingdom may not lead globally in the physical execution of project logistics, it holds a formidable position in mergers and acquisitions (M&amp;A) within this specialized sector. A recent analysis by Ti Insight highlights that between 2020 and 2025, the UK ranked among the top three countries worldwide for project logistics M&amp;A activity, with seven deals recorded. This strong showing is widely attributed to the UK’s enduring role as a strategic and financial hub for complex, multinational logistics projects rather than its capacity for heavy-lift operations, which is a specialty of countries like Germany and the Netherlands.</w:t>
      </w:r>
      <w:r/>
    </w:p>
    <w:p>
      <w:r/>
      <w:r>
        <w:t>Project logistics focuses on the transportation of oversized, heavy, or high-value cargo essential for industrial and infrastructure development. The UK's competitive advantage lies in coordination, engineering consultancy, and financial management of large-scale projects that span multiple regions. London-based logistics firms, consultancies, and financial institutions are noted as pivotal players in structuring and managing intricate international infrastructure ventures, especially within the energy, offshore, and renewables sectors where cross-border cooperation and financing are critical.</w:t>
      </w:r>
      <w:r/>
    </w:p>
    <w:p>
      <w:r/>
      <w:r>
        <w:t>This strategic role is underpinned by the UK's strong connectivity to transatlantic and Middle Eastern markets. British logistics operators frequently coordinate projects involving European engineering companies, American investors, and construction clients from the Gulf region. This enables the UK to serve as a vital bridge between markets even as its domestic infrastructure investment remains comparatively modest.</w:t>
      </w:r>
      <w:r/>
    </w:p>
    <w:p>
      <w:r/>
      <w:r>
        <w:t>Europe has been the primary hotspot for project logistics M&amp;A, accounting for 44 of the 74 global transactions identified between 2020 and 2025. Germany leads with 11 deals, followed by the United States with eight, and the United Kingdom with seven. This trend reflects an ongoing consolidation within the industry towards integrated and multimodal logistics services that can manage the complexities of industrial cargo movements across borders efficiently.</w:t>
      </w:r>
      <w:r/>
    </w:p>
    <w:p>
      <w:r/>
      <w:r>
        <w:t>While the UK's physical logistics capacity in project execution is smaller than that of continental European countries, its strength in project coordination and financial management maintains its influence in global infrastructure delivery. British expertise in planning, finance, and international operations continues to confer a competitive advantage, especially in handling technically demanding, high-value projects worldwide.</w:t>
      </w:r>
      <w:r/>
    </w:p>
    <w:p>
      <w:r/>
      <w:r>
        <w:t>Broader trends in the UK logistics sector further underline the resilience and sustained momentum of M&amp;A activities. Reports by Logistics UK and partners, such as the UK Logistics Sector M&amp;A Index 2025, indicate positive expectations for continued consolidation within the industry. Despite headwinds posed by events like the COVID-19 pandemic and Brexit uncertainties, the sector has shown robust valuation levels and an appetite for mergers and acquisitions, particularly in growth areas such as healthcare logistics, e-commerce, and food distribution.</w:t>
      </w:r>
      <w:r/>
    </w:p>
    <w:p>
      <w:r/>
      <w:r>
        <w:t>Government data released by the Office for National Statistics (ONS) corroborates this narrative, illustrating a dynamic M&amp;A landscape in the UK. The ONS reported a provisional tally of 402 domestic and cross-border transactions in Q4 2024, down from 464 in the previous quarter, yet noted a significant increase in the value of domestic deals to £8.6 billion. In Q1 2025, inward M&amp;A reached an impressive £19.2 billion, the highest since late 2022, reflecting major deals such as the acquisition of DS Smith PLC by International Paper Company. Although Q2 2025 saw some fluctuation in the volume of deals, the value of domestic M&amp;A remained strong at £3.4 billion.</w:t>
      </w:r>
      <w:r/>
    </w:p>
    <w:p>
      <w:r/>
      <w:r>
        <w:t>These patterns suggest that while domestic infrastructure investments may not be growing rapidly, the UK’s logistics sector maintains a high level of strategic and financial activity. This complements the UK's project logistics strengths, where its expertise in complex transaction structuring and international project management continues to be pivotal.</w:t>
      </w:r>
      <w:r/>
    </w:p>
    <w:p>
      <w:r/>
      <w:r>
        <w:t>In conclusion, the UK's position in project logistics is marked less by physical operations and more by the crucial roles it plays in financial management, consultancy, and cross-border coordination. Its prominence in M&amp;A activity within this sector underpins the country’s ongoing influence in global logistics projects. As international infrastructure development becomes increasingly complex and interconnected, the UK’s strategic capabilities ensure it remains a global leader in managing and financing these ambitious ventures.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(Ti Insight), </w:t>
      </w:r>
      <w:hyperlink r:id="rId10">
        <w:r>
          <w:rPr>
            <w:color w:val="0000EE"/>
            <w:u w:val="single"/>
          </w:rPr>
          <w:t>[2]</w:t>
        </w:r>
      </w:hyperlink>
      <w:r>
        <w:t xml:space="preserve"> (Logistics UK)</w:t>
      </w:r>
      <w:r/>
    </w:p>
    <w:p>
      <w:pPr>
        <w:pStyle w:val="ListBullet"/>
        <w:spacing w:line="240" w:lineRule="auto"/>
        <w:ind w:left="720"/>
      </w:pPr>
      <w:r/>
      <w:r>
        <w:t xml:space="preserve">Paragraph 2 – </w:t>
      </w:r>
      <w:hyperlink r:id="rId9">
        <w:r>
          <w:rPr>
            <w:color w:val="0000EE"/>
            <w:u w:val="single"/>
          </w:rPr>
          <w:t>[1]</w:t>
        </w:r>
      </w:hyperlink>
      <w:r>
        <w:t xml:space="preserve"> (Ti Insight)</w:t>
      </w:r>
      <w:r/>
    </w:p>
    <w:p>
      <w:pPr>
        <w:pStyle w:val="ListBullet"/>
        <w:spacing w:line="240" w:lineRule="auto"/>
        <w:ind w:left="720"/>
      </w:pPr>
      <w:r/>
      <w:r>
        <w:t xml:space="preserve">Paragraph 3 – </w:t>
      </w:r>
      <w:hyperlink r:id="rId9">
        <w:r>
          <w:rPr>
            <w:color w:val="0000EE"/>
            <w:u w:val="single"/>
          </w:rPr>
          <w:t>[1]</w:t>
        </w:r>
      </w:hyperlink>
      <w:r>
        <w:t xml:space="preserve"> (Ti Insight)</w:t>
      </w:r>
      <w:r/>
    </w:p>
    <w:p>
      <w:pPr>
        <w:pStyle w:val="ListBullet"/>
        <w:spacing w:line="240" w:lineRule="auto"/>
        <w:ind w:left="720"/>
      </w:pPr>
      <w:r/>
      <w:r>
        <w:t xml:space="preserve">Paragraph 4 – </w:t>
      </w:r>
      <w:hyperlink r:id="rId9">
        <w:r>
          <w:rPr>
            <w:color w:val="0000EE"/>
            <w:u w:val="single"/>
          </w:rPr>
          <w:t>[1]</w:t>
        </w:r>
      </w:hyperlink>
      <w:r>
        <w:t xml:space="preserve"> (Ti Insight)</w:t>
      </w:r>
      <w:r/>
    </w:p>
    <w:p>
      <w:pPr>
        <w:pStyle w:val="ListBullet"/>
        <w:spacing w:line="240" w:lineRule="auto"/>
        <w:ind w:left="720"/>
      </w:pPr>
      <w:r/>
      <w:r>
        <w:t xml:space="preserve">Paragraph 5 – </w:t>
      </w:r>
      <w:hyperlink r:id="rId9">
        <w:r>
          <w:rPr>
            <w:color w:val="0000EE"/>
            <w:u w:val="single"/>
          </w:rPr>
          <w:t>[1]</w:t>
        </w:r>
      </w:hyperlink>
      <w:r>
        <w:t xml:space="preserve"> (Ti Insight)</w:t>
      </w:r>
      <w:r/>
    </w:p>
    <w:p>
      <w:pPr>
        <w:pStyle w:val="ListBullet"/>
        <w:spacing w:line="240" w:lineRule="auto"/>
        <w:ind w:left="720"/>
      </w:pPr>
      <w:r/>
      <w:r>
        <w:t xml:space="preserve">Paragraph 6 – </w:t>
      </w:r>
      <w:hyperlink r:id="rId10">
        <w:r>
          <w:rPr>
            <w:color w:val="0000EE"/>
            <w:u w:val="single"/>
          </w:rPr>
          <w:t>[2]</w:t>
        </w:r>
      </w:hyperlink>
      <w:r>
        <w:t xml:space="preserve"> (Logistics UK), </w:t>
      </w:r>
      <w:hyperlink r:id="rId11">
        <w:r>
          <w:rPr>
            <w:color w:val="0000EE"/>
            <w:u w:val="single"/>
          </w:rPr>
          <w:t>[3]</w:t>
        </w:r>
      </w:hyperlink>
      <w:r>
        <w:t xml:space="preserve"> (Logistics UK)</w:t>
      </w:r>
      <w:r/>
    </w:p>
    <w:p>
      <w:pPr>
        <w:pStyle w:val="ListBullet"/>
        <w:spacing w:line="240" w:lineRule="auto"/>
        <w:ind w:left="720"/>
      </w:pPr>
      <w:r/>
      <w:r>
        <w:t xml:space="preserve">Paragraph 7 – </w:t>
      </w:r>
      <w:hyperlink r:id="rId12">
        <w:r>
          <w:rPr>
            <w:color w:val="0000EE"/>
            <w:u w:val="single"/>
          </w:rPr>
          <w:t>[4]</w:t>
        </w:r>
      </w:hyperlink>
      <w:r>
        <w:t xml:space="preserve"> (ONS), </w:t>
      </w:r>
      <w:hyperlink r:id="rId13">
        <w:r>
          <w:rPr>
            <w:color w:val="0000EE"/>
            <w:u w:val="single"/>
          </w:rPr>
          <w:t>[5]</w:t>
        </w:r>
      </w:hyperlink>
      <w:r>
        <w:t xml:space="preserve"> (ONS), </w:t>
      </w:r>
      <w:hyperlink r:id="rId14">
        <w:r>
          <w:rPr>
            <w:color w:val="0000EE"/>
            <w:u w:val="single"/>
          </w:rPr>
          <w:t>[7]</w:t>
        </w:r>
      </w:hyperlink>
      <w:r>
        <w:t xml:space="preserve"> (ONS)</w:t>
      </w:r>
      <w:r/>
    </w:p>
    <w:p>
      <w:pPr>
        <w:pStyle w:val="ListBullet"/>
        <w:spacing w:line="240" w:lineRule="auto"/>
        <w:ind w:left="720"/>
      </w:pPr>
      <w:r/>
      <w:r>
        <w:t xml:space="preserve">Paragraph 8 – </w:t>
      </w:r>
      <w:hyperlink r:id="rId9">
        <w:r>
          <w:rPr>
            <w:color w:val="0000EE"/>
            <w:u w:val="single"/>
          </w:rPr>
          <w:t>[1]</w:t>
        </w:r>
      </w:hyperlink>
      <w:r>
        <w:t xml:space="preserve"> (Ti Insight), </w:t>
      </w:r>
      <w:hyperlink r:id="rId10">
        <w:r>
          <w:rPr>
            <w:color w:val="0000EE"/>
            <w:u w:val="single"/>
          </w:rPr>
          <w:t>[2]</w:t>
        </w:r>
      </w:hyperlink>
      <w:r>
        <w:t xml:space="preserve"> (Logistics UK), </w:t>
      </w:r>
      <w:hyperlink r:id="rId15">
        <w:r>
          <w:rPr>
            <w:color w:val="0000EE"/>
            <w:u w:val="single"/>
          </w:rPr>
          <w:t>[6]</w:t>
        </w:r>
      </w:hyperlink>
      <w:r>
        <w:t xml:space="preserve"> (Analytiqa)</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https://trans.info/en/global-project-logistics-434638</w:t>
        </w:r>
      </w:hyperlink>
      <w:r>
        <w:t xml:space="preserve"> - Please view link - unable to able to access data</w:t>
      </w:r>
      <w:r/>
    </w:p>
    <w:p>
      <w:pPr>
        <w:pStyle w:val="ListNumber"/>
        <w:spacing w:line="240" w:lineRule="auto"/>
        <w:ind w:left="720"/>
      </w:pPr>
      <w:r/>
      <w:hyperlink r:id="rId10">
        <w:r>
          <w:rPr>
            <w:color w:val="0000EE"/>
            <w:u w:val="single"/>
          </w:rPr>
          <w:t>https://logistics.org.uk/media/press-releases/2020/september-2020/logistics-uk-cbw-launch-mergers-and-acquisitions-r</w:t>
        </w:r>
      </w:hyperlink>
      <w:r>
        <w:t xml:space="preserve"> - In October 2020, Logistics UK and CBW launched the UK Logistics Sector M&amp;A Index 2020, a report analysing mergers and acquisitions in the logistics sector. Despite challenges like the COVID-19 pandemic and Brexit uncertainties, the report indicated that M&amp;A activity was expected to remain strong over the next 12 months. The survey highlighted that consolidation was anticipated to continue, particularly in areas such as healthcare, e-commerce, and food distribution, with valuations remaining healthy. The report aimed to provide insights into future strategies for business owners in the logistics industry.</w:t>
      </w:r>
      <w:r/>
    </w:p>
    <w:p>
      <w:pPr>
        <w:pStyle w:val="ListNumber"/>
        <w:spacing w:line="240" w:lineRule="auto"/>
        <w:ind w:left="720"/>
      </w:pPr>
      <w:r/>
      <w:hyperlink r:id="rId11">
        <w:r>
          <w:rPr>
            <w:color w:val="0000EE"/>
            <w:u w:val="single"/>
          </w:rPr>
          <w:t>https://logistics.org.uk/executivemembership/insight-and-information/productivity-and-finance/m-a-index-2025</w:t>
        </w:r>
      </w:hyperlink>
      <w:r>
        <w:t xml:space="preserve"> - The UK Logistics Sector M&amp;A Index 2025, published in January 2025 by RPG Crouch Chapman and Logistics UK in conjunction with Analytiqa, presents the latest survey of companies' expectations for mergers and acquisitions in the logistics sector over the next 12 months. The report draws on insights from senior executives within UK logistics companies, providing views on expected M&amp;A trends, including valuations, and addressing key issues currently facing businesses in the sector. The full report is available for download on the Logistics UK website.</w:t>
      </w:r>
      <w:r/>
    </w:p>
    <w:p>
      <w:pPr>
        <w:pStyle w:val="ListNumber"/>
        <w:spacing w:line="240" w:lineRule="auto"/>
        <w:ind w:left="720"/>
      </w:pPr>
      <w:r/>
      <w:hyperlink r:id="rId12">
        <w:r>
          <w:rPr>
            <w:color w:val="0000EE"/>
            <w:u w:val="single"/>
          </w:rPr>
          <w:t>https://www.ons.gov.uk/businessindustryandtrade/changestobusiness/mergersandacquisitions/bulletins/mergersandacquisitionsinvolvingukcompanies/octobertodecember2024</w:t>
        </w:r>
      </w:hyperlink>
      <w:r>
        <w:t xml:space="preserve"> - The Office for National Statistics (ONS) released data on mergers and acquisitions involving UK companies for the period October to December 2024. The report revealed a provisional combined number of 402 domestic and cross-border M&amp;A transactions, a decrease from 464 in the previous quarter. Notably, the value of domestic M&amp;A increased to £8.6 billion, up from £1.9 billion in the previous quarter. The report also provided insights into outward and inward M&amp;A activities, highlighting trends and changes in the UK's M&amp;A landscape during this period.</w:t>
      </w:r>
      <w:r/>
    </w:p>
    <w:p>
      <w:pPr>
        <w:pStyle w:val="ListNumber"/>
        <w:spacing w:line="240" w:lineRule="auto"/>
        <w:ind w:left="720"/>
      </w:pPr>
      <w:r/>
      <w:hyperlink r:id="rId13">
        <w:r>
          <w:rPr>
            <w:color w:val="0000EE"/>
            <w:u w:val="single"/>
          </w:rPr>
          <w:t>https://www.ons.gov.uk/businessindustryandtrade/changestobusiness/mergersandacquisitions/bulletins/mergersandacquisitionsinvolvingukcompanies/apriltojune2025</w:t>
        </w:r>
      </w:hyperlink>
      <w:r>
        <w:t xml:space="preserve"> - The Office for National Statistics (ONS) published data on mergers and acquisitions involving UK companies for the period April to June 2025. The report indicated a large number of domestic and cross-border M&amp;A transactions in April, followed by a decline in May. The value of domestic M&amp;A was £3.4 billion in Quarter 2 2025, a slight increase compared to the previous quarter. The report also highlighted notable domestic M&amp;A transactions, including the acquisition of Urban Logistics REIT PLC by LondonMetric Property PLC.</w:t>
      </w:r>
      <w:r/>
    </w:p>
    <w:p>
      <w:pPr>
        <w:pStyle w:val="ListNumber"/>
        <w:spacing w:line="240" w:lineRule="auto"/>
        <w:ind w:left="720"/>
      </w:pPr>
      <w:r/>
      <w:hyperlink r:id="rId15">
        <w:r>
          <w:rPr>
            <w:color w:val="0000EE"/>
            <w:u w:val="single"/>
          </w:rPr>
          <w:t>https://content.analytiqa.com/en-gb/logisticsmanda2025</w:t>
        </w:r>
      </w:hyperlink>
      <w:r>
        <w:t xml:space="preserve"> - The Logistics Mergers &amp; Acquisitions Index 2025, published by RPG Crouch Chapman and Logistics UK in conjunction with Analytiqa, provides insights into expected trends in mergers and acquisitions within the UK logistics sector. The report draws on the perspectives of senior executives within logistics companies, offering views on anticipated M&amp;A activity, valuations, and key issues currently facing businesses in the sector. The full report is available for download on Analytiqa's website.</w:t>
      </w:r>
      <w:r/>
    </w:p>
    <w:p>
      <w:pPr>
        <w:pStyle w:val="ListNumber"/>
        <w:spacing w:line="240" w:lineRule="auto"/>
        <w:ind w:left="720"/>
      </w:pPr>
      <w:r/>
      <w:hyperlink r:id="rId14">
        <w:r>
          <w:rPr>
            <w:color w:val="0000EE"/>
            <w:u w:val="single"/>
          </w:rPr>
          <w:t>https://www.ons.gov.uk/businessindustryandtrade/changestobusiness/mergersandacquisitions/bulletins/mergersandacquisitionsinvolvingukcompanies/januarytomarch2025</w:t>
        </w:r>
      </w:hyperlink>
      <w:r>
        <w:t xml:space="preserve"> - The Office for National Statistics (ONS) released data on mergers and acquisitions involving UK companies for the period January to March 2025. The report showed an increase in the total combined number of domestic and cross-border M&amp;A transactions between February and March 2025. Notably, the value of inward M&amp;A reached £19.2 billion in Quarter 1 2025, marking the highest value since Quarter 3 2022. The report also highlighted significant inward M&amp;A transactions, including the acquisition of DS Smith PLC by International Paper Company.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ns.info/en/global-project-logistics-434638" TargetMode="External"/><Relationship Id="rId10" Type="http://schemas.openxmlformats.org/officeDocument/2006/relationships/hyperlink" Target="https://logistics.org.uk/media/press-releases/2020/september-2020/logistics-uk-cbw-launch-mergers-and-acquisitions-r" TargetMode="External"/><Relationship Id="rId11" Type="http://schemas.openxmlformats.org/officeDocument/2006/relationships/hyperlink" Target="https://logistics.org.uk/executivemembership/insight-and-information/productivity-and-finance/m-a-index-2025" TargetMode="External"/><Relationship Id="rId12" Type="http://schemas.openxmlformats.org/officeDocument/2006/relationships/hyperlink" Target="https://www.ons.gov.uk/businessindustryandtrade/changestobusiness/mergersandacquisitions/bulletins/mergersandacquisitionsinvolvingukcompanies/octobertodecember2024" TargetMode="External"/><Relationship Id="rId13" Type="http://schemas.openxmlformats.org/officeDocument/2006/relationships/hyperlink" Target="https://www.ons.gov.uk/businessindustryandtrade/changestobusiness/mergersandacquisitions/bulletins/mergersandacquisitionsinvolvingukcompanies/apriltojune2025" TargetMode="External"/><Relationship Id="rId14" Type="http://schemas.openxmlformats.org/officeDocument/2006/relationships/hyperlink" Target="https://www.ons.gov.uk/businessindustryandtrade/changestobusiness/mergersandacquisitions/bulletins/mergersandacquisitionsinvolvingukcompanies/januarytomarch2025" TargetMode="External"/><Relationship Id="rId15" Type="http://schemas.openxmlformats.org/officeDocument/2006/relationships/hyperlink" Target="https://content.analytiqa.com/en-gb/logisticsmanda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