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Europe’s grid reforms face urgent test as infrastructure gaps threaten climate goals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Europe’s ambitious climate, economic, and competitiveness goals hinge critically on a reliable, affordable, and decarbonised power system, where the electricity grid stands as the backbone of this transition. Spanning over one million kilometres, the EU electricity grid is the most extensive integrated network globally and central to enabling the continent’s shift to clean energy. However, as highlighted by the Clean Air Task Force (CATF), Europe’s grid currently struggles to meet the increasing demands imposed by electrification trends, the rapid growth of data centres, and the replacement of aging fossil-fuel generators with renewables. Investment gaps in clean generation, interconnections, and essential flexible and firm capacity to stabilise weather-dependent renewable sources persist, compounded by the grid’s lack of resilience to growing climate-related physical risks.</w:t>
      </w:r>
      <w:r/>
    </w:p>
    <w:p>
      <w:r/>
      <w:r>
        <w:t>These systemic challenges are intensified by procedural inefficiencies, such as convoluted permitting regimes, fragmented and poorly coordinated grid planning at national and European levels, and social resistance that slows infrastructure projects. The forthcoming European Grids Package, positioned within the Action Plan for Affordable Energy, represents a crucial chance to reform grid governance, harmonise planning and permitting, and accelerate infrastructure deployment. CATF recommends coordinated grid planning aligned across national and EU cycles, harmonised methodologies for system needs assessments extending planning horizons from 10 to 20 years, and closer integration of sector-wide energy system analyses beyond isolated electricity planning. Additionally, they advocate for streamlined permitting processes through single national one-stop shops, faster digitalised approvals, and advanced preparation of carbon capture and storage permits to avoid critical delays.</w:t>
      </w:r>
      <w:r/>
    </w:p>
    <w:p>
      <w:r/>
      <w:r>
        <w:t>These recommendations reflect an urgent need underscored by wider analyses. A recent Boston Consulting Group report projects a €250 billion shortfall in investment required by Europe’s Transmission System Operators (TSOs) over the next five years to upgrade and extend the grid. This funding gap emerges amid heightened concerns over grid resilience after large blackouts in Spain, Portugal, and the Czech Republic, alongside surging electricity demand driven by AI and data centre expansion. Although TSOs plan to significantly ramp up capital investments, new innovative financial mechanisms will be essential to bridge the gap and ensure green energy reaches consumers reliably.</w:t>
      </w:r>
      <w:r/>
    </w:p>
    <w:p>
      <w:r/>
      <w:r>
        <w:t>The scale of the challenge is highlighted by multiple reports revealing the current grid’s failure to keep pace with clean energy transitions. More than 1,700 gigawatts of renewable energy projects face prolonged queues to connect to the grid across 16 European countries due to outdated grid planning and inefficient governance structures. This bottleneck impedes the EU’s roadmap to phase out Russian fossil fuels by 2027 and slows the deployment of renewables, raising risks of energy insecurity and missing climate targets.</w:t>
      </w:r>
      <w:r/>
    </w:p>
    <w:p>
      <w:r/>
      <w:r>
        <w:t>Notably, poor grid planning also threatens the geographic distribution of emerging data centre investments. A report by energy think-tank Ember warns that long grid connection times—averaging 7 to 10 years in major hubs like Frankfurt and London—may shift up to half of Europe’s data centre capacity toward newer markets with faster grid access such as Italy. This shift risks draining billions in investment from traditional technology hubs, with knock-on effects for regional economic growth and job creation. Countries like Germany, whose data centre sector contributed €10.4 billion to GDP in 2024 and is set to more than double by 2029, exemplify the economic stakes involved. The increasing electricity demand from data centres, projected to triple or more in countries like Sweden, Norway, and Greece by 2035, underscores the need for targeted grid enhancements to support expanding sectors and ensure competitive positioning.</w:t>
      </w:r>
      <w:r/>
    </w:p>
    <w:p>
      <w:r/>
      <w:r>
        <w:t>The Institute for Energy Economics and Financial Analysis (IEEFA) further stresses that recent blackouts in the Iberian Peninsula and parts of France demonstrate the vulnerabilities of an electricity system lacking sufficient flexibility and resilience. High renewable energy curtailments and extensive queues for solar, wind, and storage projects illustrate the urgent need for investment not only in grid expansions but also in clean flexibility technologies such as demand response, energy storage, and ancillary services like frequency control reserves.</w:t>
      </w:r>
      <w:r/>
    </w:p>
    <w:p>
      <w:r/>
      <w:r>
        <w:t>From an economic and security perspective, the OECD frames electricity grid development as an indispensable enabler of clean energy transitions, noting that delays in grid infrastructure can stall renewable deployment, electrification of industry and transport, and the broader hydrogen economy. Insufficient development risks higher grid congestion, increased renewable curtailment, more costly backup capacity, and overall higher transition costs.</w:t>
      </w:r>
      <w:r/>
    </w:p>
    <w:p>
      <w:r/>
      <w:r>
        <w:t>A comprehensive overhaul of grid planning and governance is therefore critical. As CATF suggests, advancing from fragmented sectoral analyses towards integrated, economy-wide energy system planning will highlight synergies and interdependencies that isolated approaches miss. Extending planning horizons to 20 years aligns with the long lifespans of infrastructure and the trajectory toward climate neutrality, enabling more strategic and cost-effective investments. Simultaneously, the modernisation of existing grid infrastructure through “grid-enhancing technologies” such as dynamic line ratings and advanced power flow controls can improve capacity by 20 to 40%, offering relatively rapid and cost-effective solutions complementary to new builds.</w:t>
      </w:r>
      <w:r/>
    </w:p>
    <w:p>
      <w:r/>
      <w:r>
        <w:t>On permitting, Europe must accelerate reform by establishing national one-stop shops to centralise and digitalise processes, facilitating clearer communication and faster approvals while maintaining environmental safeguards. Despite some EU provisions like the TEN-E regulation offering streamlined procedures for Projects of Common Interest, persistent delays, lack of coordination on cross-border projects, and underfunded permitting offices stagnate progress. Enhanced digital tools, centralized data sharing, and clearer guidance for carbon capture and storage projects could prevent critical bottlenecks that delay investment decisions.</w:t>
      </w:r>
      <w:r/>
    </w:p>
    <w:p>
      <w:r/>
      <w:r>
        <w:t>Europe’s electricity grid sits at a pivotal crossroads: it must swiftly evolve to support an unprecedented expansion of renewables, growing electrification demands, and the digital economy’s rise, all while enhancing resilience to a changing climate. Failure to invest adequately, modernise planning frameworks, and streamline permitting risks derailing the EU’s clean energy ambitions and economic prosperity. Yet, the toolbox exists—from coordinated planning and extended foresight to technological upgrades and regulatory reform—to transform the grid into a future-proof backbone capable of delivering a reliable, affordable, and decarbonised power system for Europe’s citizens and businesses.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(Clean Air Task Force)</w:t>
      </w:r>
      <w:r/>
    </w:p>
    <w:p>
      <w:pPr>
        <w:pStyle w:val="ListBullet"/>
        <w:spacing w:line="240" w:lineRule="auto"/>
        <w:ind w:left="720"/>
      </w:pPr>
      <w:r/>
      <w:r>
        <w:t xml:space="preserve">Paragraph 2 – </w:t>
      </w:r>
      <w:hyperlink r:id="rId10">
        <w:r>
          <w:rPr>
            <w:color w:val="0000EE"/>
            <w:u w:val="single"/>
          </w:rPr>
          <w:t>[2]</w:t>
        </w:r>
      </w:hyperlink>
      <w:r>
        <w:t xml:space="preserve"> (Reuters, Boston Consulting Group)</w:t>
      </w:r>
      <w:r/>
    </w:p>
    <w:p>
      <w:pPr>
        <w:pStyle w:val="ListBullet"/>
        <w:spacing w:line="240" w:lineRule="auto"/>
        <w:ind w:left="720"/>
      </w:pPr>
      <w:r/>
      <w:r>
        <w:t xml:space="preserve">Paragraph 3 – </w:t>
      </w:r>
      <w:hyperlink r:id="rId11">
        <w:r>
          <w:rPr>
            <w:color w:val="0000EE"/>
            <w:u w:val="single"/>
          </w:rPr>
          <w:t>[3]</w:t>
        </w:r>
      </w:hyperlink>
      <w:r>
        <w:t xml:space="preserve"> (Euronews, Beyond Fossil Fuels, E3G, Ember, IEEFA)</w:t>
      </w:r>
      <w:r/>
    </w:p>
    <w:p>
      <w:pPr>
        <w:pStyle w:val="ListBullet"/>
        <w:spacing w:line="240" w:lineRule="auto"/>
        <w:ind w:left="720"/>
      </w:pPr>
      <w:r/>
      <w:r>
        <w:t xml:space="preserve">Paragraph 4 – </w:t>
      </w:r>
      <w:hyperlink r:id="rId12">
        <w:r>
          <w:rPr>
            <w:color w:val="0000EE"/>
            <w:u w:val="single"/>
          </w:rPr>
          <w:t>[4]</w:t>
        </w:r>
      </w:hyperlink>
      <w:r>
        <w:t xml:space="preserve"> (Reuters, Ember)</w:t>
      </w:r>
      <w:r/>
    </w:p>
    <w:p>
      <w:pPr>
        <w:pStyle w:val="ListBullet"/>
        <w:spacing w:line="240" w:lineRule="auto"/>
        <w:ind w:left="720"/>
      </w:pPr>
      <w:r/>
      <w:r>
        <w:t xml:space="preserve">Paragraph 5 – </w:t>
      </w:r>
      <w:hyperlink r:id="rId13">
        <w:r>
          <w:rPr>
            <w:color w:val="0000EE"/>
            <w:u w:val="single"/>
          </w:rPr>
          <w:t>[5]</w:t>
        </w:r>
      </w:hyperlink>
      <w:r>
        <w:t xml:space="preserve"> (IEEFA, Beyond Fossil Fuels, Ember, E3G)</w:t>
      </w:r>
      <w:r/>
    </w:p>
    <w:p>
      <w:pPr>
        <w:pStyle w:val="ListBullet"/>
        <w:spacing w:line="240" w:lineRule="auto"/>
        <w:ind w:left="720"/>
      </w:pPr>
      <w:r/>
      <w:r>
        <w:t xml:space="preserve">Paragraph 6 – </w:t>
      </w:r>
      <w:hyperlink r:id="rId14">
        <w:r>
          <w:rPr>
            <w:color w:val="0000EE"/>
            <w:u w:val="single"/>
          </w:rPr>
          <w:t>[6]</w:t>
        </w:r>
      </w:hyperlink>
      <w:r>
        <w:t xml:space="preserve"> (OECD)</w:t>
      </w:r>
      <w:r/>
    </w:p>
    <w:p>
      <w:pPr>
        <w:pStyle w:val="ListBullet"/>
        <w:spacing w:line="240" w:lineRule="auto"/>
        <w:ind w:left="720"/>
      </w:pPr>
      <w:r/>
      <w:r>
        <w:t xml:space="preserve">Paragraph 7 – </w:t>
      </w:r>
      <w:hyperlink r:id="rId9">
        <w:r>
          <w:rPr>
            <w:color w:val="0000EE"/>
            <w:u w:val="single"/>
          </w:rPr>
          <w:t>[1]</w:t>
        </w:r>
      </w:hyperlink>
      <w:r>
        <w:t xml:space="preserve"> (Clean Air Task Force), </w:t>
      </w:r>
      <w:hyperlink r:id="rId15">
        <w:r>
          <w:rPr>
            <w:color w:val="0000EE"/>
            <w:u w:val="single"/>
          </w:rPr>
          <w:t>[7]</w:t>
        </w:r>
      </w:hyperlink>
      <w:r>
        <w:t xml:space="preserve"> (E3G, Beyond Fossil Fuels, Ember, IEEFA)</w:t>
      </w:r>
      <w:r/>
    </w:p>
    <w:p>
      <w:pPr>
        <w:pStyle w:val="ListBullet"/>
        <w:spacing w:line="240" w:lineRule="auto"/>
        <w:ind w:left="720"/>
      </w:pPr>
      <w:r/>
      <w:r>
        <w:t xml:space="preserve">Paragraph 8 – </w:t>
      </w:r>
      <w:hyperlink r:id="rId9">
        <w:r>
          <w:rPr>
            <w:color w:val="0000EE"/>
            <w:u w:val="single"/>
          </w:rPr>
          <w:t>[1]</w:t>
        </w:r>
      </w:hyperlink>
      <w:r>
        <w:t xml:space="preserve"> (Clean Air Task Force), </w:t>
      </w:r>
      <w:hyperlink r:id="rId15">
        <w:r>
          <w:rPr>
            <w:color w:val="0000EE"/>
            <w:u w:val="single"/>
          </w:rPr>
          <w:t>[7]</w:t>
        </w:r>
      </w:hyperlink>
      <w:r>
        <w:t xml:space="preserve"> (E3G, Beyond Fossil Fuels, Ember, IEEFA)</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https://www.catf.us/resource/catf-recommendations-for-the-upcoming-grid-package/</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https://www.reuters.com/sustainability/climate-energy/european-grid-investment-plans-face-250-billion-euro-shortfall-2025-07-10/</w:t>
        </w:r>
      </w:hyperlink>
      <w:r>
        <w:t xml:space="preserve"> - A report from Boston Consulting Group reveals that European electricity transmission system operators (TSOs) face a €250 billion shortfall in their investment plans to upgrade and expand power grids over the next five years. This shortfall is attributed to rising concerns about the resilience of Europe's electricity system, highlighted by recent widespread blackouts in Spain, Portugal, and the Czech Republic. The growing need for electrification, increasing power demand from AI and data centers, integration of renewable energy, and aging infrastructure underscore the urgency for significant grid improvements. Europe's 15 largest TSOs intend to increase their capital investments to €345 billion from 2025 to 2029, tripling the amount spent from 2020 to 2024, while operating cash flow is expected to rise to €120 billion. After accounting for expected dividends of €25-30 billion, a substantial funding gap remains. BCG suggests this could be addressed through debt, equity, asset sales, or reduced dividends. With balance sheets already strained and publicly traded TSOs struggling to attract equity, the report stresses the need for innovative financial solutions to ensure renewable energy can be effectively distributed to consumers.</w:t>
      </w:r>
      <w:r/>
    </w:p>
    <w:p>
      <w:pPr>
        <w:pStyle w:val="ListNumber"/>
        <w:spacing w:line="240" w:lineRule="auto"/>
        <w:ind w:left="720"/>
      </w:pPr>
      <w:r/>
      <w:hyperlink r:id="rId11">
        <w:r>
          <w:rPr>
            <w:color w:val="0000EE"/>
            <w:u w:val="single"/>
          </w:rPr>
          <w:t>https://www.euronews.com/green/2025/05/13/europes-electricity-grid-is-outdated-and-risks-derailing-fossil-fuel-phase-out-report-find</w:t>
        </w:r>
      </w:hyperlink>
      <w:r>
        <w:t xml:space="preserve"> - A report from Beyond Fossil Fuels, E3G, Ember, and the Institute for Energy Economics and Financial Analysis indicates that Europe's electricity grid is failing to keep pace with the renewable energy transition. The report highlights that over 1,700 gigawatts of renewable energy projects across 16 countries are stuck in the queue to be connected to the electricity grid. The outdated grid planning and weak governance are stalling Europe's transition to renewable energy, despite the EU's roadmap to phase out remaining Russian fossil fuels by 2027. The report emphasizes the need for significant investment and infrastructure upgrades to modernize and increase cross-border transmission capacity.</w:t>
      </w:r>
      <w:r/>
    </w:p>
    <w:p>
      <w:pPr>
        <w:pStyle w:val="ListNumber"/>
        <w:spacing w:line="240" w:lineRule="auto"/>
        <w:ind w:left="720"/>
      </w:pPr>
      <w:r/>
      <w:hyperlink r:id="rId12">
        <w:r>
          <w:rPr>
            <w:color w:val="0000EE"/>
            <w:u w:val="single"/>
          </w:rPr>
          <w:t>https://www.reuters.com/technology/poor-grid-planning-could-shift-europes-data-centre-geography-report-says-2025-06-18/</w:t>
        </w:r>
      </w:hyperlink>
      <w:r>
        <w:t xml:space="preserve"> - A report by energy think-tank Ember warns that poor electricity grid planning could significantly alter the geographical distribution of data centres in Europe. The increasing demand for data centres, driven by the competitive development of AI technologies, is placing heavy pressure on the power infrastructure. The report states that by 2035, up to half of Europe’s data centre capacity could move away from traditional hubs such as Frankfurt, London, Amsterdam, Paris, and Dublin, due to long grid connection times—7 to 10 years on average, with some delays up to 13 years. In contrast, newer markets like Italy offer much quicker connections, around three years. This shift could drain billions in investments from congested regions, hinder economic growth, and slow job creation. In 2024, Germany’s data centre sector contributed €10.4 billion to the GDP, with projections to more than double by 2029. Of the major hubs, only France is expected to maintain strong investment levels due to its relatively unconstrained grid. Data centre electricity demand is also projected to triple or more in countries like Sweden, Norway, Denmark, Austria, and Greece by 2035. Ember emphasizes the need for strategic grid investments across all industries to attract and sustain economic development.</w:t>
      </w:r>
      <w:r/>
    </w:p>
    <w:p>
      <w:pPr>
        <w:pStyle w:val="ListNumber"/>
        <w:spacing w:line="240" w:lineRule="auto"/>
        <w:ind w:left="720"/>
      </w:pPr>
      <w:r/>
      <w:hyperlink r:id="rId13">
        <w:r>
          <w:rPr>
            <w:color w:val="0000EE"/>
            <w:u w:val="single"/>
          </w:rPr>
          <w:t>https://ieefa.org/resources/grid-investment-can-mark-turning-point-europes-power-system-stability-and-energy-security</w:t>
        </w:r>
      </w:hyperlink>
      <w:r>
        <w:t xml:space="preserve"> - The Institute for Energy Economics and Financial Analysis (IEEFA) highlights the critical importance of grid investment in ensuring Europe's power system stability and energy security. The recent blackout in the Iberian Peninsula and parts of France underscores the risks associated with insufficient grid resilience, especially in a network with high levels of renewable energy integration. A May 2025 joint report from Beyond Fossil Fuels, Ember, E3G, and IEEFA flagged this weakness, noting that high levels of renewable energy curtailment in 2024 show the need for more investment in 'clean flexibility' technologies—such as demand-side flexibility and energy storage—and grid balancing. The report also found that queues of solar, wind, and storage projects waiting for grid connections have expanded across Europe, with the amount of renewables stuck in queues more than three times the capacity needed for the EU to reach its 2030 energy and climate targets. Outdated grid connection processes worsen these queues, underscoring the need for grid strengthening and smartening, together with more support for ancillary services like frequency control reserves, which have long been identified as holding back the energy transition.</w:t>
      </w:r>
      <w:r/>
    </w:p>
    <w:p>
      <w:pPr>
        <w:pStyle w:val="ListNumber"/>
        <w:spacing w:line="240" w:lineRule="auto"/>
        <w:ind w:left="720"/>
      </w:pPr>
      <w:r/>
      <w:hyperlink r:id="rId14">
        <w:r>
          <w:rPr>
            <w:color w:val="0000EE"/>
            <w:u w:val="single"/>
          </w:rPr>
          <w:t>https://www.oecd.org/content/dam/oecd/en/publications/reports/2023/10/electricity-grids-and-secure-energy-transitions_9559dcb0/455dd4fb-en.pdf</w:t>
        </w:r>
      </w:hyperlink>
      <w:r>
        <w:t xml:space="preserve"> - The Organisation for Economic Co-operation and Development (OECD) report emphasizes the critical role of electricity grid development in facilitating clean energy transitions. Delays in grid development could slow clean energy transitions, raise costs, and heighten security concerns. The lack of grid infrastructure development could slow clean energy transitions in several ways, including failing to connect new renewable energy projects in a timely manner, which would slow their deployment. Failing to properly connect new segments of electricity demand could also present challenges to the electrification of industry and heating/cooling in households, EV uptake, and development of electrolysers for hydrogen production. Insufficient grid infrastructure development could also increase grid congestion and the curtailment of renewables, as well as requiring additional backup capacity, making energy transitions more expensive.</w:t>
      </w:r>
      <w:r/>
    </w:p>
    <w:p>
      <w:pPr>
        <w:pStyle w:val="ListNumber"/>
        <w:spacing w:line="240" w:lineRule="auto"/>
        <w:ind w:left="720"/>
      </w:pPr>
      <w:r/>
      <w:hyperlink r:id="rId15">
        <w:r>
          <w:rPr>
            <w:color w:val="0000EE"/>
            <w:u w:val="single"/>
          </w:rPr>
          <w:t>https://www.e3g.org/news/outdated-grid-planning-and-weak-governance-stalling-europe-s-transition-away-from-fossil-fuels/</w:t>
        </w:r>
      </w:hyperlink>
      <w:r>
        <w:t xml:space="preserve"> - A report by Beyond Fossil Fuels, E3G, Ember, and the Institute for Energy Economics and Financial Analysis reveals that Europe’s electricity grid is failing to keep pace with the renewable power transformation. Outdated planning and obsolete mandates are slowing the upgrade and build-out of Europe’s electricity highways, delaying the connection of renewable and flexibility projects that can make energy clean and more affordable. The report highlights that over 1,700 gigawatts of renewable energy projects across 16 countries are stuck in the queue to be connected to the electricity grid. The report emphasizes the need for significant investment and infrastructure upgrades to modernize and increase cross-border transmission capacity, which are essential for achieving the EU's clean energy transition and delivering renewable energy while supporting economic growth and prosperity.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tf.us/resource/catf-recommendations-for-the-upcoming-grid-package/" TargetMode="External"/><Relationship Id="rId10" Type="http://schemas.openxmlformats.org/officeDocument/2006/relationships/hyperlink" Target="https://www.reuters.com/sustainability/climate-energy/european-grid-investment-plans-face-250-billion-euro-shortfall-2025-07-10/" TargetMode="External"/><Relationship Id="rId11" Type="http://schemas.openxmlformats.org/officeDocument/2006/relationships/hyperlink" Target="https://www.euronews.com/green/2025/05/13/europes-electricity-grid-is-outdated-and-risks-derailing-fossil-fuel-phase-out-report-find" TargetMode="External"/><Relationship Id="rId12" Type="http://schemas.openxmlformats.org/officeDocument/2006/relationships/hyperlink" Target="https://www.reuters.com/technology/poor-grid-planning-could-shift-europes-data-centre-geography-report-says-2025-06-18/" TargetMode="External"/><Relationship Id="rId13" Type="http://schemas.openxmlformats.org/officeDocument/2006/relationships/hyperlink" Target="https://ieefa.org/resources/grid-investment-can-mark-turning-point-europes-power-system-stability-and-energy-security" TargetMode="External"/><Relationship Id="rId14" Type="http://schemas.openxmlformats.org/officeDocument/2006/relationships/hyperlink" Target="https://www.oecd.org/content/dam/oecd/en/publications/reports/2023/10/electricity-grids-and-secure-energy-transitions_9559dcb0/455dd4fb-en.pdf" TargetMode="External"/><Relationship Id="rId15" Type="http://schemas.openxmlformats.org/officeDocument/2006/relationships/hyperlink" Target="https://www.e3g.org/news/outdated-grid-planning-and-weak-governance-stalling-europe-s-transition-away-from-fossil-fuel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