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Halloween experiences set to revolutionise festive celebrations by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continues to reshape holiday celebrations, with an especially noticeable impact on Halloween festivities as we approach 2025. Companies like PicLumen AI are spearheading this movement by introducing advanced AI-powered visual effects designed to create immersive and customizable Halloween experiences for events, social media, and marketing campaigns. Their platform leverages cutting-edge AI to generate context-aware visual effects and lighting that transform parties, entertainment venues, and digital promotions, offering scalable, on-demand enhancements tailored to seasonal moods and themes.</w:t>
      </w:r>
      <w:r/>
    </w:p>
    <w:p>
      <w:r/>
      <w:r>
        <w:t>This development reflects broader industry trends where AI is becoming a cornerstone technology in creative content production. Market data underscores this transformation, with projections indicating substantial expansion in AI's role within creative industries. The global AI market is forecasted to reach nearly $244 billion by 2025, growing at an annual rate exceeding 26 percent, driven in large part by the adoption of AI content creation tools. Concurrently, the generative AI segment within the creative sector is expected to grow at an even faster pace, with a projected compound annual growth rate (CAGR) of around 33 percent, reaching over $12 billion by 2029. Such rapid growth is propelled by increasing public awareness, the rise of creative coding communities, and the proliferation of open-source AI frameworks that lower barriers to entry for innovators and businesses alike.</w:t>
      </w:r>
      <w:r/>
    </w:p>
    <w:p>
      <w:r/>
      <w:r>
        <w:t>Within the entertainment and media landscape, AI-powered advertising and personalised marketing strategies are emerging as key growth drivers. Reports from PwC highlight that AI-driven ad formats will play a pivotal role in expanding the global entertainment and media industry, which is predicted to reach $3.5 trillion by 2029. Digital formats, already constituting over 70 percent of ad revenue in 2024, are anticipated to grow further, accounting for 80 percent by the end of the decade. Despite some headwinds in global advertising revenue forecasts—such as cautious revisions by WPP Media due to trade policy uncertainties—the dominance of digital and AI-enhanced marketing remains robust. In particular, seasonal events like Halloween benefit significantly from AI's capabilities to personalise content and generate viral, user-driven engagement. For example, Gartner’s 2023 research highlighted a 20 percent increase in consumer engagement when brands employ AI-driven personalisation, especially notable during festive campaigns.</w:t>
      </w:r>
      <w:r/>
    </w:p>
    <w:p>
      <w:r/>
      <w:r>
        <w:t>Technological advancements underpinning these AI innovations include sophisticated neural networks such as diffusion models and transformer architectures that enable detailed, high-fidelity image and video generation from simple text prompts. Models like Stable Diffusion and OpenAI’s DALL-E 3 have revolutionised what creators can achieve without requiring traditional artistic skills, democratising content creation for individuals and brands. These tools are increasingly optimized for mobile platforms, recognizing that over half of AI app interactions occur on smartphones, necessitating efficient, low-latency algorithms.</w:t>
      </w:r>
      <w:r/>
    </w:p>
    <w:p>
      <w:r/>
      <w:r>
        <w:t>However, the integration of AI in holiday-themed content creation is not without its challenges. Ensuring diversity and inclusivity in AI-generated outputs remains a critical concern to avoid biased or stereotypical representations. Developers are addressing these issues through the curation of fine-tuned datasets and ethical AI models that respect copyright and promote positive social impacts. Regulatory landscapes, such as the EU’s AI Act effective from August 2024, now mandate transparency in AI-generated content to counter misinformation, a concern particularly salient given the potential misuse of deepfake technology during playful but sensitive occasions like Halloween. Industry leaders are also adopting best practices, including watermarking AI outputs and enhancing safety features in generative models to mitigate risks.</w:t>
      </w:r>
      <w:r/>
    </w:p>
    <w:p>
      <w:r/>
      <w:r>
        <w:t>Looking forward, the fusion of AI with augmented reality (AR) and multimodal technologies promises to redefine Halloween experiences. Augmented reality could enable interactive haunted environments, while multimodal AI systems integrating visuals, text, and audio—exemplified by Meta’s recent advancements—are paving the way for fully immersive celebrations complete with synchronized spooky soundtracks. Analysts at McKinsey project a 15 percent annual growth in AI-enabled entertainment through 2027, further boosted by surging investments and consumer appetite for novel digital experiences.</w:t>
      </w:r>
      <w:r/>
    </w:p>
    <w:p>
      <w:r/>
      <w:r>
        <w:t>From a commercial perspective, leveraging AI for Halloween marketing is opening lucrative opportunities. Retailers increasingly embrace AI-driven personalisation to tailor promotions, with surveys indicating substantial expected revenue lifts of 10 to 15 percent during peak seasons like Halloween. Subscription-based models for premium AI features and affordable, on-demand solutions from startups such as PicLumen are disrupting traditional markets, competing with established giants like Google and Adobe, the latter offering ethical AI art tools through its Firefly platform. Moreover, cloud-based computational resources from providers like AWS help mitigate the high costs associated with AI, making advanced tools accessible to a wider range of businesses.</w:t>
      </w:r>
      <w:r/>
    </w:p>
    <w:p>
      <w:r/>
      <w:r>
        <w:t>In summary, as we approach Halloween 2025, AI stands poised not only to enhance creativity and engagement in festive celebrations but also to drive significant economic value through innovation in digital marketing, entertainment, and event production. The confluence of technological sophistication, market growth, ethical considerations, and regulatory oversight forms a dynamic ecosystem where AI transforms how holidays are experienced and monetised on a global scale.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(blockchain.news), </w:t>
      </w:r>
      <w:hyperlink r:id="rId9">
        <w:r>
          <w:rPr>
            <w:color w:val="0000EE"/>
            <w:u w:val="single"/>
          </w:rPr>
          <w:t>[2]</w:t>
        </w:r>
      </w:hyperlink>
      <w:r>
        <w:t xml:space="preserve"> (blockchain.news) </w:t>
      </w:r>
      <w:r/>
    </w:p>
    <w:p>
      <w:pPr>
        <w:pStyle w:val="ListBullet"/>
        <w:spacing w:line="240" w:lineRule="auto"/>
        <w:ind w:left="720"/>
      </w:pPr>
      <w:r/>
      <w:r>
        <w:t xml:space="preserve">Paragraph 2 – </w:t>
      </w:r>
      <w:hyperlink r:id="rId9">
        <w:r>
          <w:rPr>
            <w:color w:val="0000EE"/>
            <w:u w:val="single"/>
          </w:rPr>
          <w:t>[1]</w:t>
        </w:r>
      </w:hyperlink>
      <w:r>
        <w:t xml:space="preserve"> (blockchain.news), </w:t>
      </w:r>
      <w:hyperlink r:id="rId10">
        <w:r>
          <w:rPr>
            <w:color w:val="0000EE"/>
            <w:u w:val="single"/>
          </w:rPr>
          <w:t>[3]</w:t>
        </w:r>
      </w:hyperlink>
      <w:r>
        <w:t xml:space="preserve"> (Statista), </w:t>
      </w:r>
      <w:hyperlink r:id="rId11">
        <w:r>
          <w:rPr>
            <w:color w:val="0000EE"/>
            <w:u w:val="single"/>
          </w:rPr>
          <w:t>[4]</w:t>
        </w:r>
      </w:hyperlink>
      <w:r>
        <w:t xml:space="preserve"> (The Business Research Company) </w:t>
      </w:r>
      <w:r/>
    </w:p>
    <w:p>
      <w:pPr>
        <w:pStyle w:val="ListBullet"/>
        <w:spacing w:line="240" w:lineRule="auto"/>
        <w:ind w:left="720"/>
      </w:pPr>
      <w:r/>
      <w:r>
        <w:t xml:space="preserve">Paragraph 3 – </w:t>
      </w:r>
      <w:hyperlink r:id="rId12">
        <w:r>
          <w:rPr>
            <w:color w:val="0000EE"/>
            <w:u w:val="single"/>
          </w:rPr>
          <w:t>[5]</w:t>
        </w:r>
      </w:hyperlink>
      <w:r>
        <w:t xml:space="preserve"> (Reuters-PwC), </w:t>
      </w:r>
      <w:hyperlink r:id="rId13">
        <w:r>
          <w:rPr>
            <w:color w:val="0000EE"/>
            <w:u w:val="single"/>
          </w:rPr>
          <w:t>[6]</w:t>
        </w:r>
      </w:hyperlink>
      <w:r>
        <w:t xml:space="preserve"> (Reuters-WPP), </w:t>
      </w:r>
      <w:hyperlink r:id="rId9">
        <w:r>
          <w:rPr>
            <w:color w:val="0000EE"/>
            <w:u w:val="single"/>
          </w:rPr>
          <w:t>[1]</w:t>
        </w:r>
      </w:hyperlink>
      <w:r>
        <w:t xml:space="preserve"> (blockchain.news) </w:t>
      </w:r>
      <w:r/>
    </w:p>
    <w:p>
      <w:pPr>
        <w:pStyle w:val="ListBullet"/>
        <w:spacing w:line="240" w:lineRule="auto"/>
        <w:ind w:left="720"/>
      </w:pPr>
      <w:r/>
      <w:r>
        <w:t xml:space="preserve">Paragraph 4 – </w:t>
      </w:r>
      <w:hyperlink r:id="rId9">
        <w:r>
          <w:rPr>
            <w:color w:val="0000EE"/>
            <w:u w:val="single"/>
          </w:rPr>
          <w:t>[1]</w:t>
        </w:r>
      </w:hyperlink>
      <w:r>
        <w:t xml:space="preserve"> (blockchain.news) </w:t>
      </w:r>
      <w:r/>
    </w:p>
    <w:p>
      <w:pPr>
        <w:pStyle w:val="ListBullet"/>
        <w:spacing w:line="240" w:lineRule="auto"/>
        <w:ind w:left="720"/>
      </w:pPr>
      <w:r/>
      <w:r>
        <w:t xml:space="preserve">Paragraph 5 – </w:t>
      </w:r>
      <w:hyperlink r:id="rId9">
        <w:r>
          <w:rPr>
            <w:color w:val="0000EE"/>
            <w:u w:val="single"/>
          </w:rPr>
          <w:t>[1]</w:t>
        </w:r>
      </w:hyperlink>
      <w:r>
        <w:t xml:space="preserve"> (blockchain.news) </w:t>
      </w:r>
      <w:r/>
    </w:p>
    <w:p>
      <w:pPr>
        <w:pStyle w:val="ListBullet"/>
        <w:spacing w:line="240" w:lineRule="auto"/>
        <w:ind w:left="720"/>
      </w:pPr>
      <w:r/>
      <w:r>
        <w:t xml:space="preserve">Paragraph 6 – </w:t>
      </w:r>
      <w:hyperlink r:id="rId9">
        <w:r>
          <w:rPr>
            <w:color w:val="0000EE"/>
            <w:u w:val="single"/>
          </w:rPr>
          <w:t>[1]</w:t>
        </w:r>
      </w:hyperlink>
      <w:r>
        <w:t xml:space="preserve"> (blockchain.news), </w:t>
      </w:r>
      <w:hyperlink r:id="rId11">
        <w:r>
          <w:rPr>
            <w:color w:val="0000EE"/>
            <w:u w:val="single"/>
          </w:rPr>
          <w:t>[4]</w:t>
        </w:r>
      </w:hyperlink>
      <w:r>
        <w:t xml:space="preserve"> (The Business Research Company) </w:t>
      </w:r>
      <w:r/>
    </w:p>
    <w:p>
      <w:pPr>
        <w:pStyle w:val="ListBullet"/>
        <w:spacing w:line="240" w:lineRule="auto"/>
        <w:ind w:left="720"/>
      </w:pPr>
      <w:r/>
      <w:r>
        <w:t xml:space="preserve">Paragraph 7 – </w:t>
      </w:r>
      <w:hyperlink r:id="rId9">
        <w:r>
          <w:rPr>
            <w:color w:val="0000EE"/>
            <w:u w:val="single"/>
          </w:rPr>
          <w:t>[1]</w:t>
        </w:r>
      </w:hyperlink>
      <w:r>
        <w:t xml:space="preserve"> (blockchain.news), </w:t>
      </w:r>
      <w:hyperlink r:id="rId9">
        <w:r>
          <w:rPr>
            <w:color w:val="0000EE"/>
            <w:u w:val="single"/>
          </w:rPr>
          <w:t>[2]</w:t>
        </w:r>
      </w:hyperlink>
      <w:r>
        <w:t xml:space="preserve"> (blockchain.news), </w:t>
      </w:r>
      <w:hyperlink r:id="rId14">
        <w:r>
          <w:rPr>
            <w:color w:val="0000EE"/>
            <w:u w:val="single"/>
          </w:rPr>
          <w:t>[7]</w:t>
        </w:r>
      </w:hyperlink>
      <w:r>
        <w:t xml:space="preserve"> (businessheraldonline.com)</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https://blockchain.news/ainews/piclumen-ai-unveils-advanced-ai-powered-halloween-visual-effects-for-2025</w:t>
        </w:r>
      </w:hyperlink>
      <w:r>
        <w:t xml:space="preserve"> - Please view link - unable to able to access data</w:t>
      </w:r>
      <w:r/>
    </w:p>
    <w:p>
      <w:pPr>
        <w:pStyle w:val="ListNumber"/>
        <w:spacing w:line="240" w:lineRule="auto"/>
        <w:ind w:left="720"/>
      </w:pPr>
      <w:r/>
      <w:hyperlink r:id="rId9">
        <w:r>
          <w:rPr>
            <w:color w:val="0000EE"/>
            <w:u w:val="single"/>
          </w:rPr>
          <w:t>https://blockchain.news/ainews/piclumen-ai-unveils-advanced-ai-powered-halloween-visual-effects-for-2025</w:t>
        </w:r>
      </w:hyperlink>
      <w:r>
        <w:t xml:space="preserve"> - PicLumen AI is leveraging advanced AI technology to create immersive Halloween-themed visual effects for events and social media in 2025. Their AI-driven platform enables users to generate high-quality, context-aware visual effects and lighting, enhancing parties, marketing campaigns, and entertainment venues. This development highlights the growing trend of AI in creative content production, offering significant business opportunities for event planners, digital marketers, and entertainment companies seeking scalable, on-demand visual enhancement solutions.</w:t>
      </w:r>
      <w:r/>
    </w:p>
    <w:p>
      <w:pPr>
        <w:pStyle w:val="ListNumber"/>
        <w:spacing w:line="240" w:lineRule="auto"/>
        <w:ind w:left="720"/>
      </w:pPr>
      <w:r/>
      <w:hyperlink r:id="rId10">
        <w:r>
          <w:rPr>
            <w:color w:val="0000EE"/>
            <w:u w:val="single"/>
          </w:rPr>
          <w:t>https://www.statista.com/outlook/tmo/artificial-intelligence/content-creation-tools/worldwide</w:t>
        </w:r>
      </w:hyperlink>
      <w:r>
        <w:t xml:space="preserve"> - The global artificial intelligence market is projected to reach US$244.22 billion in 2025, with an annual growth rate of 26.60%, resulting in a market volume of US$1.01 trillion by 2031. The United States is expected to have the largest market size, with US$73.98 billion in 2025. This growth is driven by advancements in AI technologies, including content creation tools.</w:t>
      </w:r>
      <w:r/>
    </w:p>
    <w:p>
      <w:pPr>
        <w:pStyle w:val="ListNumber"/>
        <w:spacing w:line="240" w:lineRule="auto"/>
        <w:ind w:left="720"/>
      </w:pPr>
      <w:r/>
      <w:hyperlink r:id="rId11">
        <w:r>
          <w:rPr>
            <w:color w:val="0000EE"/>
            <w:u w:val="single"/>
          </w:rPr>
          <w:t>https://www.thebusinessresearchcompany.com/market-insights/generative-ai-in-creative-industries-market-overview-2025</w:t>
        </w:r>
      </w:hyperlink>
      <w:r>
        <w:t xml:space="preserve"> - The generative AI in creative industries market is projected to expand from $3.08 billion in 2024 to $4.09 billion in 2025, indicating a compound annual growth rate (CAGR) of 32.8%. This significant growth is attributed to the emergence of creative coding communities, heightened public awareness, and the advent of open-source frameworks. The market is expected to reach $12.61 billion by 2029, with a CAGR of 32.5%.</w:t>
      </w:r>
      <w:r/>
    </w:p>
    <w:p>
      <w:pPr>
        <w:pStyle w:val="ListNumber"/>
        <w:spacing w:line="240" w:lineRule="auto"/>
        <w:ind w:left="720"/>
      </w:pPr>
      <w:r/>
      <w:hyperlink r:id="rId12">
        <w:r>
          <w:rPr>
            <w:color w:val="0000EE"/>
            <w:u w:val="single"/>
          </w:rPr>
          <w:t>https://www.reuters.com/business/media-telecom/ai-powered-ads-drive-growth-global-entertainment-media-industry-pwc-says-2025-07-24/</w:t>
        </w:r>
      </w:hyperlink>
      <w:r>
        <w:t xml:space="preserve"> - According to PwC’s Global Entertainment &amp; Media Outlook 2025-29, the global entertainment and media industry is projected to grow to $3.5 trillion by 2029, with a compound annual growth rate of 3.7%. A significant driver of this growth is the increasing use of AI-powered advertising, particularly in digital formats and connected TV. In 2024, digital formats made up 72% of ad revenue, and this is expected to rise to 80% by 2029.</w:t>
      </w:r>
      <w:r/>
    </w:p>
    <w:p>
      <w:pPr>
        <w:pStyle w:val="ListNumber"/>
        <w:spacing w:line="240" w:lineRule="auto"/>
        <w:ind w:left="720"/>
      </w:pPr>
      <w:r/>
      <w:hyperlink r:id="rId13">
        <w:r>
          <w:rPr>
            <w:color w:val="0000EE"/>
            <w:u w:val="single"/>
          </w:rPr>
          <w:t>https://www.reuters.com/business/media-telecom/wpp-media-cuts-2025-global-advertising-revenue-growth-forecast-to-6-trade-concerns-2025-06-09/</w:t>
        </w:r>
      </w:hyperlink>
      <w:r>
        <w:t xml:space="preserve"> - WPP Media has revised its 2025 global advertising revenue growth forecast down from 7.7% to 6% due to uncertainties surrounding U.S. trade policies. This cautious outlook reflects advertisers’ hesitancy to commit to new marketing plans amid policy fluctuations. The report highlights the continued dominance of digital advertising, which is projected to constitute 73.2% of the total $1.08 trillion global ad revenue expected in 2025.</w:t>
      </w:r>
      <w:r/>
    </w:p>
    <w:p>
      <w:pPr>
        <w:pStyle w:val="ListNumber"/>
        <w:spacing w:line="240" w:lineRule="auto"/>
        <w:ind w:left="720"/>
      </w:pPr>
      <w:r/>
      <w:hyperlink r:id="rId14">
        <w:r>
          <w:rPr>
            <w:color w:val="0000EE"/>
            <w:u w:val="single"/>
          </w:rPr>
          <w:t>https://www.businessheraldonline.com/article/820724914-artificial-intelligence-ai-in-art-and-creativity-global-market-tops-5-77-billion-by-2025</w:t>
        </w:r>
      </w:hyperlink>
      <w:r>
        <w:t xml:space="preserve"> - The AI in art and creativity market is experiencing exponential growth, rising from $4.61 billion in 2024 to $5.77 billion in 2025, at a compound annual growth rate (CAGR) of 25.3%. This growth is driven by rising demand for personalized content, increasing adoption of AI-powered design tools, expansive use of generative AI in media &amp; entertainment, expanding availability of open-source AI models, and surging investments in creative AI startups.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ainews/piclumen-ai-unveils-advanced-ai-powered-halloween-visual-effects-for-2025" TargetMode="External"/><Relationship Id="rId10" Type="http://schemas.openxmlformats.org/officeDocument/2006/relationships/hyperlink" Target="https://www.statista.com/outlook/tmo/artificial-intelligence/content-creation-tools/worldwide" TargetMode="External"/><Relationship Id="rId11" Type="http://schemas.openxmlformats.org/officeDocument/2006/relationships/hyperlink" Target="https://www.thebusinessresearchcompany.com/market-insights/generative-ai-in-creative-industries-market-overview-2025" TargetMode="External"/><Relationship Id="rId12" Type="http://schemas.openxmlformats.org/officeDocument/2006/relationships/hyperlink" Target="https://www.reuters.com/business/media-telecom/ai-powered-ads-drive-growth-global-entertainment-media-industry-pwc-says-2025-07-24/" TargetMode="External"/><Relationship Id="rId13" Type="http://schemas.openxmlformats.org/officeDocument/2006/relationships/hyperlink" Target="https://www.reuters.com/business/media-telecom/wpp-media-cuts-2025-global-advertising-revenue-growth-forecast-to-6-trade-concerns-2025-06-09/" TargetMode="External"/><Relationship Id="rId14" Type="http://schemas.openxmlformats.org/officeDocument/2006/relationships/hyperlink" Target="https://www.businessheraldonline.com/article/820724914-artificial-intelligence-ai-in-art-and-creativity-global-market-tops-5-77-billion-by-202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