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BBC’s rapid AI adoption reveals transparency and governance challenges for businesses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Between 2020 and 2021, one of the world’s most respected media organisations dramatically increased its use of artificial intelligence (AI) to generate the majority of its content, a shift that has quietly transformed journalism practices and offers important lessons for businesses. Analysis of thousands of articles published by the BBC between 2012 and 2025 reveals a striking pattern of AI adoption, moving from minimal use before 2020 to around 70-80% of its content produced with AI assistance since 2021. This rapid integration followed the release of advanced language models like GPT-3 and was driven in part by pandemic-related challenges and economic pressures, such as declining ad revenues and the need to scale production efficiently.</w:t>
      </w:r>
      <w:r/>
    </w:p>
    <w:p>
      <w:r/>
      <w:r>
        <w:t>However, this significant operational change largely took place without transparent disclosure to readers, pointing to a troubling transparency gap that remains relevant for enterprises today. The BBC only publicly shared its AI use policies in 2024, setting out clear principles that AI does not write news stories independently nor fact-check content, and emphasising that all AI-generated text must be reviewed by human editors. This retrospective approach to governance mirrors findings from recent studies that highlight the risks of prioritising AI implementation before establishing appropriate disclosure policies and oversight mechanisms.</w:t>
      </w:r>
      <w:r/>
    </w:p>
    <w:p>
      <w:r/>
      <w:r>
        <w:t>According to a 2025 report from MIT’s Media Lab, 95% of enterprises investing heavily in generative AI fail to see measurable returns on investment. The problem is less about the technology itself and more about how AI systems are integrated into existing workflows. Many organisations rush to deploy AI tools—especially in sales, marketing, and customer service—without carefully designing governance frameworks, resulting in what the report dubs a “learning gap.” Only a small minority of companies that focus on specific business problems and collaborate with specialised AI vendors succeed in scaling AI use effectively.</w:t>
      </w:r>
      <w:r/>
    </w:p>
    <w:p>
      <w:r/>
      <w:r>
        <w:t>This challenge is mirrored in the BBC’s phased adoption of AI, which can be categorised into three stages: initial stealth adoption from 2012 to 2020 with minimal AI content, rapid scaling around 2020-2021 as more sophisticated models became available, and finally the normalisation of AI use from 2021 onward when AI-generated content became a standard practice. Similarly, many businesses today find themselves transitioning from exploratory use towards embedded AI solutions, often with various departments independently adopting tools without enterprise-wide coordination or transparency.</w:t>
      </w:r>
      <w:r/>
    </w:p>
    <w:p>
      <w:r/>
      <w:r>
        <w:t>The economic imperative for AI adoption is clear; media companies like the BBC turned to AI to manage rising staffing costs and shrinking revenue. The same economic dynamics push other sectors to deploy AI to enhance efficiency and reduce expenses, such as automating customer support with chatbots, assisting legal contract reviews, or screening candidates in human resources. Yet, a key concern is that customers and stakeholders frequently remain unaware of the extent to which AI is involved in these interactions until detection tools or policy disclosures reveal it, sometimes undermining trust.</w:t>
      </w:r>
      <w:r/>
    </w:p>
    <w:p>
      <w:r/>
      <w:r>
        <w:t>Transparency around AI use, therefore, becomes crucial not only to maintaining credibility but also to shaping future regulatory expectations. A practical framework for AI disclosure has been proposed ranging from “human-directed, AI-assisted” content creation to “fully automated” AI operations, with an emphasis on visible, clear communication rather than hidden disclaimers. Companies are encouraged to understand all informal AI uses within their organisation, set comprehensive disclosure policies, and clarify for customers, employees, and investors how human expertise and AI collaborate.</w:t>
      </w:r>
      <w:r/>
    </w:p>
    <w:p>
      <w:r/>
      <w:r>
        <w:t>The media industry’s experience serves as a cautionary preview for enterprises. Adopting AI without an established governance framework can lead to a mismatch between implementation and accountability. As AI detection tools become more widespread and regulatory scrutiny intensifies, organisations face a choice: proactively set transparency standards to build trust, or risk reputational damage and scrutiny when AI use is discovered externally.</w:t>
      </w:r>
      <w:r/>
    </w:p>
    <w:p>
      <w:r/>
      <w:r>
        <w:t>This is particularly timely as ongoing tensions emerge between media companies and AI developers over the use of copyrighted content for training AI models, exemplified by the BBC’s recent legal threats against the AI search startup Perplexity for allegedly scraping BBC content without permission. This highlights broader ethical and legal complexities surrounding AI’s integration into information ecosystems.</w:t>
      </w:r>
      <w:r/>
    </w:p>
    <w:p>
      <w:r/>
      <w:r>
        <w:t>Moreover, workforce impacts are nuanced. While fears of mass layoffs persist, current research suggests AI is predominantly replacing outsourced and offshore roles, with domestic employment disruption still modest. However, the selective use of AI in routine tasks underscores the need for strategic talent management and workflow redesign, as emphasised in reports by consulting firms such as Boston Consulting Group.</w:t>
      </w:r>
      <w:r/>
    </w:p>
    <w:p>
      <w:r/>
      <w:r>
        <w:t>Ultimately, the successful integration of AI appears to hinge not on the technology alone but on how organisations align AI adoption with clear business strategies, strong governance, workforce planning, and transparent communication. The media industry’s journey offers valuable lessons for enterprises aiming to harness AI’s benefits while maintaining stakeholder trust and adapting to evolving regulatory landscapes.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(aijourn.com) </w:t>
      </w:r>
      <w:r/>
    </w:p>
    <w:p>
      <w:pPr>
        <w:pStyle w:val="ListBullet"/>
        <w:spacing w:line="240" w:lineRule="auto"/>
        <w:ind w:left="720"/>
      </w:pPr>
      <w:r/>
      <w:r>
        <w:t xml:space="preserve">Paragraph 2 – </w:t>
      </w:r>
      <w:hyperlink r:id="rId9">
        <w:r>
          <w:rPr>
            <w:color w:val="0000EE"/>
            <w:u w:val="single"/>
          </w:rPr>
          <w:t>[1]</w:t>
        </w:r>
      </w:hyperlink>
      <w:r>
        <w:t xml:space="preserve"> (aijourn.com) </w:t>
      </w:r>
      <w:r/>
    </w:p>
    <w:p>
      <w:pPr>
        <w:pStyle w:val="ListBullet"/>
        <w:spacing w:line="240" w:lineRule="auto"/>
        <w:ind w:left="720"/>
      </w:pPr>
      <w:r/>
      <w:r>
        <w:t xml:space="preserve">Paragraph 3 – </w:t>
      </w:r>
      <w:hyperlink r:id="rId10">
        <w:r>
          <w:rPr>
            <w:color w:val="0000EE"/>
            <w:u w:val="single"/>
          </w:rPr>
          <w:t>[2]</w:t>
        </w:r>
      </w:hyperlink>
      <w:r>
        <w:t xml:space="preserve"> (Tom's Hardware), </w:t>
      </w:r>
      <w:hyperlink r:id="rId11">
        <w:r>
          <w:rPr>
            <w:color w:val="0000EE"/>
            <w:u w:val="single"/>
          </w:rPr>
          <w:t>[4]</w:t>
        </w:r>
      </w:hyperlink>
      <w:r>
        <w:t xml:space="preserve"> (DemandLab) </w:t>
      </w:r>
      <w:r/>
    </w:p>
    <w:p>
      <w:pPr>
        <w:pStyle w:val="ListBullet"/>
        <w:spacing w:line="240" w:lineRule="auto"/>
        <w:ind w:left="720"/>
      </w:pPr>
      <w:r/>
      <w:r>
        <w:t xml:space="preserve">Paragraph 4 – </w:t>
      </w:r>
      <w:hyperlink r:id="rId9">
        <w:r>
          <w:rPr>
            <w:color w:val="0000EE"/>
            <w:u w:val="single"/>
          </w:rPr>
          <w:t>[1]</w:t>
        </w:r>
      </w:hyperlink>
      <w:r>
        <w:t xml:space="preserve"> (aijourn.com) </w:t>
      </w:r>
      <w:r/>
    </w:p>
    <w:p>
      <w:pPr>
        <w:pStyle w:val="ListBullet"/>
        <w:spacing w:line="240" w:lineRule="auto"/>
        <w:ind w:left="720"/>
      </w:pPr>
      <w:r/>
      <w:r>
        <w:t xml:space="preserve">Paragraph 5 – </w:t>
      </w:r>
      <w:hyperlink r:id="rId9">
        <w:r>
          <w:rPr>
            <w:color w:val="0000EE"/>
            <w:u w:val="single"/>
          </w:rPr>
          <w:t>[1]</w:t>
        </w:r>
      </w:hyperlink>
      <w:r>
        <w:t xml:space="preserve"> (aijourn.com), </w:t>
      </w:r>
      <w:hyperlink r:id="rId10">
        <w:r>
          <w:rPr>
            <w:color w:val="0000EE"/>
            <w:u w:val="single"/>
          </w:rPr>
          <w:t>[2]</w:t>
        </w:r>
      </w:hyperlink>
      <w:r>
        <w:t xml:space="preserve"> (Tom's Hardware) </w:t>
      </w:r>
      <w:r/>
    </w:p>
    <w:p>
      <w:pPr>
        <w:pStyle w:val="ListBullet"/>
        <w:spacing w:line="240" w:lineRule="auto"/>
        <w:ind w:left="720"/>
      </w:pPr>
      <w:r/>
      <w:r>
        <w:t xml:space="preserve">Paragraph 6 – </w:t>
      </w:r>
      <w:hyperlink r:id="rId9">
        <w:r>
          <w:rPr>
            <w:color w:val="0000EE"/>
            <w:u w:val="single"/>
          </w:rPr>
          <w:t>[1]</w:t>
        </w:r>
      </w:hyperlink>
      <w:r>
        <w:t xml:space="preserve"> (aijourn.com) </w:t>
      </w:r>
      <w:r/>
    </w:p>
    <w:p>
      <w:pPr>
        <w:pStyle w:val="ListBullet"/>
        <w:spacing w:line="240" w:lineRule="auto"/>
        <w:ind w:left="720"/>
      </w:pPr>
      <w:r/>
      <w:r>
        <w:t xml:space="preserve">Paragraph 7 – </w:t>
      </w:r>
      <w:hyperlink r:id="rId9">
        <w:r>
          <w:rPr>
            <w:color w:val="0000EE"/>
            <w:u w:val="single"/>
          </w:rPr>
          <w:t>[1]</w:t>
        </w:r>
      </w:hyperlink>
      <w:r>
        <w:t xml:space="preserve"> (aijourn.com) </w:t>
      </w:r>
      <w:r/>
    </w:p>
    <w:p>
      <w:pPr>
        <w:pStyle w:val="ListBullet"/>
        <w:spacing w:line="240" w:lineRule="auto"/>
        <w:ind w:left="720"/>
      </w:pPr>
      <w:r/>
      <w:r>
        <w:t xml:space="preserve">Paragraph 8 – </w:t>
      </w:r>
      <w:hyperlink r:id="rId12">
        <w:r>
          <w:rPr>
            <w:color w:val="0000EE"/>
            <w:u w:val="single"/>
          </w:rPr>
          <w:t>[7]</w:t>
        </w:r>
      </w:hyperlink>
      <w:r>
        <w:t xml:space="preserve"> (Reuters) </w:t>
      </w:r>
      <w:r/>
    </w:p>
    <w:p>
      <w:pPr>
        <w:pStyle w:val="ListBullet"/>
        <w:spacing w:line="240" w:lineRule="auto"/>
        <w:ind w:left="720"/>
      </w:pPr>
      <w:r/>
      <w:r>
        <w:t xml:space="preserve">Paragraph 9 – </w:t>
      </w:r>
      <w:hyperlink r:id="rId13">
        <w:r>
          <w:rPr>
            <w:color w:val="0000EE"/>
            <w:u w:val="single"/>
          </w:rPr>
          <w:t>[5]</w:t>
        </w:r>
      </w:hyperlink>
      <w:r>
        <w:t xml:space="preserve"> (Axios), </w:t>
      </w:r>
      <w:hyperlink r:id="rId14">
        <w:r>
          <w:rPr>
            <w:color w:val="0000EE"/>
            <w:u w:val="single"/>
          </w:rPr>
          <w:t>[6]</w:t>
        </w:r>
      </w:hyperlink>
      <w:r>
        <w:t xml:space="preserve"> (Axios) </w:t>
      </w:r>
      <w:r/>
    </w:p>
    <w:p>
      <w:pPr>
        <w:pStyle w:val="ListBullet"/>
        <w:spacing w:line="240" w:lineRule="auto"/>
        <w:ind w:left="720"/>
      </w:pPr>
      <w:r/>
      <w:r>
        <w:t xml:space="preserve">Paragraph 10 – </w:t>
      </w:r>
      <w:hyperlink r:id="rId10">
        <w:r>
          <w:rPr>
            <w:color w:val="0000EE"/>
            <w:u w:val="single"/>
          </w:rPr>
          <w:t>[2]</w:t>
        </w:r>
      </w:hyperlink>
      <w:r>
        <w:t xml:space="preserve"> (Tom's Hardware), </w:t>
      </w:r>
      <w:hyperlink r:id="rId11">
        <w:r>
          <w:rPr>
            <w:color w:val="0000EE"/>
            <w:u w:val="single"/>
          </w:rPr>
          <w:t>[4]</w:t>
        </w:r>
      </w:hyperlink>
      <w:r>
        <w:t xml:space="preserve"> (DemandLab), </w:t>
      </w:r>
      <w:hyperlink r:id="rId14">
        <w:r>
          <w:rPr>
            <w:color w:val="0000EE"/>
            <w:u w:val="single"/>
          </w:rPr>
          <w:t>[6]</w:t>
        </w:r>
      </w:hyperlink>
      <w:r>
        <w:t xml:space="preserve"> (Axios)</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https://aijourn.com/three-years-until-ai-detection-goes-mainstream-what-the-bbcs-use-of-ai-teaches-business/</w:t>
        </w:r>
      </w:hyperlink>
      <w:r>
        <w:t xml:space="preserve"> - Please view link - unable to able to access data</w:t>
      </w:r>
      <w:r/>
    </w:p>
    <w:p>
      <w:pPr>
        <w:pStyle w:val="ListNumber"/>
        <w:spacing w:line="240" w:lineRule="auto"/>
        <w:ind w:left="720"/>
      </w:pPr>
      <w:r/>
      <w:hyperlink r:id="rId10">
        <w:r>
          <w:rPr>
            <w:color w:val="0000EE"/>
            <w:u w:val="single"/>
          </w:rPr>
          <w:t>https://www.tomshardware.com/tech-industry/artificial-intelligence/95-percent-of-generative-ai-implementations-in-enterprise-have-no-measurable-impact-on-p-and-l-says-mit-flawed-integration-key-reason-why-ai-projects-underperform</w:t>
        </w:r>
      </w:hyperlink>
      <w:r>
        <w:t xml:space="preserve"> - An MIT study revealed that 95% of generative AI implementations in enterprises fail to impact profit and loss (P&amp;L) due to flawed integration with existing workflows, not because the AI tools malfunction. The study, based on 150 interviews, a survey of 350 employees, and 300 public AI deployments, showed that only 5% of AI pilot programs led to rapid revenue growth by focusing on specific problems and pairing with the right partners. Many companies misuse generative AI by prioritizing sales and marketing instead of back-office automation tasks where AI excels. In-house AI implementations also have lower success rates compared to those using specialized providers, though industries like finance and healthcare prefer in-house tools to mitigate regulatory risks. Additionally, while AI hasn’t triggered massive layoffs, companies are increasingly not replacing vacated entry-level administrative and customer support roles, signaling potential future job displacement in these areas.</w:t>
      </w:r>
      <w:r/>
    </w:p>
    <w:p>
      <w:pPr>
        <w:pStyle w:val="ListNumber"/>
        <w:spacing w:line="240" w:lineRule="auto"/>
        <w:ind w:left="720"/>
      </w:pPr>
      <w:r/>
      <w:hyperlink r:id="rId16">
        <w:r>
          <w:rPr>
            <w:color w:val="0000EE"/>
            <w:u w:val="single"/>
          </w:rPr>
          <w:t>https://www.techradar.com/pro/american-companies-have-invested-billions-in-ai-initiatives-but-have-basically-nothing-to-show-for-it</w:t>
        </w:r>
      </w:hyperlink>
      <w:r>
        <w:t xml:space="preserve"> - A recent report from MIT's NANDA (Networked Agents and Decentralized AI) initiative reveals that despite U.S. companies investing $35–40 billion in generative AI tools, 95% have seen little to no tangible results. Only 5% of these AI tools are successfully deployed at scale. Failures are largely due to AI systems' inability to adapt, retain data, and learn over time, rather than a lack of infrastructure or skilled professionals. Executives increasingly view AI projects as speculative, with minimal impact observed across major sectors such as healthcare, finance, retail, and energy. The report also highlights a trend toward workforce downsizing, with 5–20% of non-core and outsourced jobs already affected, and 80% of tech and media executives predicting reduced hiring in the next two years. Interestingly, workers favor generic tools like ChatGPT over more expensive enterprise options, driving the rise of shadow IT. As a result, companies are encouraged to adopt simpler strategies, customizing existing tools to fit internal policies rather than developing complex proprietary systems. This approach could boost ROI, improve security, and reduce the need for extensive AI training.</w:t>
      </w:r>
      <w:r/>
    </w:p>
    <w:p>
      <w:pPr>
        <w:pStyle w:val="ListNumber"/>
        <w:spacing w:line="240" w:lineRule="auto"/>
        <w:ind w:left="720"/>
      </w:pPr>
      <w:r/>
      <w:hyperlink r:id="rId11">
        <w:r>
          <w:rPr>
            <w:color w:val="0000EE"/>
            <w:u w:val="single"/>
          </w:rPr>
          <w:t>https://www.demandlab.com/resources/blog/5-takeaways-report-on-the-state-of-ai-in-business/</w:t>
        </w:r>
      </w:hyperlink>
      <w:r>
        <w:t xml:space="preserve"> - A new report from the MIT Media Lab’s Project NANDA, The GenAI Divide: State of AI in Business 2025, delivers a sobering reality check. Despite an estimated $30–40 billion in enterprise spending on generative AI, the study concludes that 95% of organizations see no measurable business return. Drawing from 300 publicly disclosed AI pilot initiatives, 150 leadership interviews, and 350 employee surveys, the report highlights a growing gap between the few companies extracting value from AI and those not. The authors call this chasm “the GenAI Divide,” reshaping how businesses think about the technology. Here are five key takeaways: 1. High Failure Rate MIT found that 95% of AI pilots fail to deliver tangible business value. Most pilots stall out without measurable P&amp;L impact, despite heavy investment and high expectations. The report stresses that hype alone is not translating into operational gains, making AI perhaps the most expensive “trial-and-error” experiment in enterprise history. 2. Root Cause: The “Learning Gap” Interestingly, the problem isn’t the technology itself. Instead, MIT points to what it calls the “learning gap,” or the inability of AI systems to adapt effectively to enterprise workflows. Even advanced tools like ChatGPT stumble in organizational settings, where context retention, customization, and integration are crucial. Enterprises aren’t struggling with models so much as with translating AI into real, usable processes. 3. Better Performance with Strategic Focus For the 5% of pilots that do succeed, the formula is strikingly consistent. These organizations: Zero in on a single, well-defined business pain point. Partner with specialized AI vendors rather than building entirely in-house. Prioritize back-office automation streamlining processes, reducing costs, and creating operational efficiencies before pursuing customer-facing use cases. MIT suggests that this laser focus is the difference between pilots that scale and those that stagnate. 4. Buy vs. Build The report also reveals a stark performance divide between buying and building. Pilots based on externally sourced AI solutions succeed about two-thirds of the time, while internally developed systems succeed only one-third of the time. This reinforces the idea that collaboration beats isolation in the current AI landscape. 5. The Emerging “Second Wave” of AI Winners MIT identifies a new, fifth insight: a second wave of AI adoption is emerging. The few organizations driving measurable returns are not just experimenting; they are re-architecting their operations around AI. Instead of treating generative AI as a bolt-on tool, these companies embed it into end-to-end workflows, data governance, and change management practices. This suggests that the real winners in AI will not just be those who deploy the right models but those who redesign how work gets done. MIT argues that this second wave may be smaller in numbers, but it will define the benchmark for AI-driven business transformation over the next decade. Final Thought MIT’s 2025 report underscores a hard truth: AI in business is no longer about experimentation but execution. With most pilots failing, the gap between leaders and laggards is widening. The lesson for executives? Success isn’t about adopting AI; it’s about integrating it with strategy, workflows, and culture. The GenAI Divide may only deepen, but the rewards for those who can cross it could be transformative.</w:t>
      </w:r>
      <w:r/>
    </w:p>
    <w:p>
      <w:pPr>
        <w:pStyle w:val="ListNumber"/>
        <w:spacing w:line="240" w:lineRule="auto"/>
        <w:ind w:left="720"/>
      </w:pPr>
      <w:r/>
      <w:hyperlink r:id="rId13">
        <w:r>
          <w:rPr>
            <w:color w:val="0000EE"/>
            <w:u w:val="single"/>
          </w:rPr>
          <w:t>https://www.axios.com/2025/08/18/ai-jobs-layoffs</w:t>
        </w:r>
      </w:hyperlink>
      <w:r>
        <w:t xml:space="preserve"> - The MIT State of AI in Business 2025 report reveals that artificial intelligence is primarily replacing outsourced and offshore roles, rather than domestic or high-priority jobs. While concerns of widespread job displacement persist, current AI disruption appears limited to already outsourced labor, which companies are cutting through contract cancellations rather than layoffs. In the short term, only 3% of jobs may be affected by AI, though this figure could rise to 27% in the long term. AI budgets are largely directed toward sales and marketing, with 50% of spending in these areas. For investors, this selective displacement could be advantageous—boosting productivity and profits without sparking mass unemployment, presenting a balanced growth scenario.</w:t>
      </w:r>
      <w:r/>
    </w:p>
    <w:p>
      <w:pPr>
        <w:pStyle w:val="ListNumber"/>
        <w:spacing w:line="240" w:lineRule="auto"/>
        <w:ind w:left="720"/>
      </w:pPr>
      <w:r/>
      <w:hyperlink r:id="rId14">
        <w:r>
          <w:rPr>
            <w:color w:val="0000EE"/>
            <w:u w:val="single"/>
          </w:rPr>
          <w:t>https://www.axios.com/2025/09/18/ai-corporate-affairs-bcg-report</w:t>
        </w:r>
      </w:hyperlink>
      <w:r>
        <w:t xml:space="preserve"> - A new report by Boston Consulting Group (BCG) states that over 80% of tasks within corporate affairs can be supported or automated using AI. This reflects the growing potential of AI, particularly generative AI and large language models, to increase efficiency and reduce costs. The analysis points out that AI can help professionals reclaim 26% to 36% of their time in areas that are routine, content-heavy, and data-driven. The greatest cost-saving potential lies in operational, planning, and analytical tasks (28%-39%), with notable impacts also in external communications (22%-31%) and ESG/community communications (21%-30%). However, BCG's CCO Russell Dubner highlights that cost reductions won’t necessarily lead to fewer jobs. He advises organizations to closely assess how AI can support or automate specific functions and develop corresponding workflows and talent strategies for maximum benefit.</w:t>
      </w:r>
      <w:r/>
    </w:p>
    <w:p>
      <w:pPr>
        <w:pStyle w:val="ListNumber"/>
        <w:spacing w:line="240" w:lineRule="auto"/>
        <w:ind w:left="720"/>
      </w:pPr>
      <w:r/>
      <w:hyperlink r:id="rId12">
        <w:r>
          <w:rPr>
            <w:color w:val="0000EE"/>
            <w:u w:val="single"/>
          </w:rPr>
          <w:t>https://www.reuters.com/business/media-telecom/bbc-threatens-legal-action-against-ai-start-up-perplexity-over-content-scraping-2025-06-20/</w:t>
        </w:r>
      </w:hyperlink>
      <w:r>
        <w:t xml:space="preserve"> - The BBC is threatening legal action against AI search engine startup Perplexity, accusing it of using BBC content without permission to train its default AI model, according to the Financial Times. In a letter to Perplexity CEO Aravind Srinivas, the BBC demanded the company stop scraping its content, delete already-used material, and propose financial compensation for the misuse of its intellectual property. Perplexity responded by dismissing the claims as “manipulative and opportunistic,” arguing that the BBC misinterprets technology and intellectual property law. This dispute is part of a broader controversy involving AI tools like ChatGPT, which rely on web content for training. Perplexity has previously faced similar accusations from Forbes and Wired and introduced a revenue-sharing program in response. The New York Times also issued a cease and desist to Perplexity in October, reinforcing growing tensions between media outlets and AI developers over unauthorized content use.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ijourn.com/three-years-until-ai-detection-goes-mainstream-what-the-bbcs-use-of-ai-teaches-business/" TargetMode="External"/><Relationship Id="rId10" Type="http://schemas.openxmlformats.org/officeDocument/2006/relationships/hyperlink" Target="https://www.tomshardware.com/tech-industry/artificial-intelligence/95-percent-of-generative-ai-implementations-in-enterprise-have-no-measurable-impact-on-p-and-l-says-mit-flawed-integration-key-reason-why-ai-projects-underperform" TargetMode="External"/><Relationship Id="rId11" Type="http://schemas.openxmlformats.org/officeDocument/2006/relationships/hyperlink" Target="https://www.demandlab.com/resources/blog/5-takeaways-report-on-the-state-of-ai-in-business/" TargetMode="External"/><Relationship Id="rId12" Type="http://schemas.openxmlformats.org/officeDocument/2006/relationships/hyperlink" Target="https://www.reuters.com/business/media-telecom/bbc-threatens-legal-action-against-ai-start-up-perplexity-over-content-scraping-2025-06-20/" TargetMode="External"/><Relationship Id="rId13" Type="http://schemas.openxmlformats.org/officeDocument/2006/relationships/hyperlink" Target="https://www.axios.com/2025/08/18/ai-jobs-layoffs" TargetMode="External"/><Relationship Id="rId14" Type="http://schemas.openxmlformats.org/officeDocument/2006/relationships/hyperlink" Target="https://www.axios.com/2025/09/18/ai-corporate-affairs-bcg-report" TargetMode="External"/><Relationship Id="rId15" Type="http://schemas.openxmlformats.org/officeDocument/2006/relationships/hyperlink" Target="https://www.noahwire.com" TargetMode="External"/><Relationship Id="rId16" Type="http://schemas.openxmlformats.org/officeDocument/2006/relationships/hyperlink" Target="https://www.techradar.com/pro/american-companies-have-invested-billions-in-ai-initiatives-but-have-basically-nothing-to-show-for-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