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digital innovation is accelerating sustainable business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evolving business landscape is witnessing a decisive convergence of technology and sustainability, forming a pivotal nexus where digital innovation underpins environmental stewardship and economic growth. Cutting-edge technologies such as artificial intelligence (AI), blockchain, and the Internet of Things (IoT) are no longer mere efficiency tools but are shaping the blueprint for greener, more accountable business models. These innovations enable transparent supply chain tracking, optimise energy usage, and drive waste reduction, marking a fundamental shift in how companies integrate sustainability into their core strategies.</w:t>
      </w:r>
      <w:r/>
    </w:p>
    <w:p>
      <w:r/>
      <w:r>
        <w:t>Artificial intelligence plays a particularly transformative role by processing vast quantities of data to forecast energy consumption, streamline manufacturing, and provide actionable insights. Yet, experts caution that despite AI’s ability to enhance environmental, social, and governance (ESG) investments, human judgment remains irreplaceable for interpreting nuanced sustainability issues like human rights and inclusion. Reuters recently highlighted the need for a careful balance between AI-powered data analysis and essential human oversight in ESG assessments to avoid over-reliance on algorithms while capturing the full complexity of sustainability risks and opportunities.</w:t>
      </w:r>
      <w:r/>
    </w:p>
    <w:p>
      <w:r/>
      <w:r>
        <w:t>Blockchain technology further complements these advances by enhancing transparency and accountability across supply chains. For example, companies like Energi Mine in the UK have innovated by combining blockchain with AI to decentralise the energy market. They incentivise energy-efficient behaviour through tokens that can be redeemed for practical uses such as energy bills or sustainable transport. Such models exemplify how blockchain can reward consumers and organisations alike, driving energy conservation while ensuring traceability from source to consumption.</w:t>
      </w:r>
      <w:r/>
    </w:p>
    <w:p>
      <w:r/>
      <w:r>
        <w:t>Meanwhile, IoT-enabled platforms are emerging as critical tools for real-time energy management and emissions tracking, facilitating compliance with regulatory frameworks and corporate sustainability goals. Solutions like ClearVUE.Zero have been widely adopted across sectors ranging from manufacturing to sports facilities, delivering measurable energy savings and CO₂ reductions. Companies such as ThyssenKrupp Materials UK and the Morgan Motor Company employ this technology to monitor Scope 1 and Scope 2 emissions closely, supporting ambitious net-zero targets through data-driven decision-making.</w:t>
      </w:r>
      <w:r/>
    </w:p>
    <w:p>
      <w:r/>
      <w:r>
        <w:t>The integration of AI, blockchain, and IoT also improves circular economy initiatives by enabling real-time resource monitoring and predictive analytics to minimise waste and extend the life cycle of products. Academic research underscores the potential of blockchain-enabled AIoT frameworks to automate compliance verification and promote ethical sourcing, creating a more sustainable and transparent supply chain ecosystem. These innovations are adopted by industries such as fashion, automotive, and electronics, with brands turning plastic waste into new materials, exemplifying how circular design can be both scalable and stylish.</w:t>
      </w:r>
      <w:r/>
    </w:p>
    <w:p>
      <w:r/>
      <w:r>
        <w:t>Beyond technological capabilities, sustainability is fast solidifying its position as a profitable strategic advantage. According to a 2024 Deloitte study, companies embracing green technologies outperform their peers in long-term profitability by nearly 20%. This trend is visible globally, with Indian innovators like Ola Electric and BluSmart showcasing how climate tech—spanning clean mobility and circular waste management—can drive both impact and financial returns.</w:t>
      </w:r>
      <w:r/>
    </w:p>
    <w:p>
      <w:r/>
      <w:r>
        <w:t>However, the road to sustainable business transformation is not without challenges. The energy consumption of data centres, intensified by AI workloads, poses a significant environmental concern. The International Energy Agency reports that data centres accounted for around 1.5% of global electricity usage in 2024, with consumption expected to nearly double by 2030. This highlights the imperative for parallel advances in green computing practices that optimise energy efficiency, leverage renewable energy, and promote recyclability to mitigate the environmental footprint of digital infrastructure itself.</w:t>
      </w:r>
      <w:r/>
    </w:p>
    <w:p>
      <w:r/>
      <w:r>
        <w:t>Looking forward, the trajectory points towards regenerative innovation, where technology transcends reducing harm to actively restoring ecological balance. Future business models are likely to integrate sustainability intrinsically, embedding it in every algorithm, product, and process. Documentaries such as Channel News Asia’s “Tech To Save The World” spotlight the crucial role of emerging technology woven with human ingenuity in combating climate change, reflecting a growing global recognition of sustainable innovation as a cornerstone of economic resilience and ecological stewardship.</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(Business Remedies)</w:t>
      </w:r>
      <w:r/>
    </w:p>
    <w:p>
      <w:pPr>
        <w:pStyle w:val="ListBullet"/>
        <w:spacing w:line="240" w:lineRule="auto"/>
        <w:ind w:left="720"/>
      </w:pPr>
      <w:r/>
      <w:r>
        <w:t xml:space="preserve">Paragraph 2 – </w:t>
      </w:r>
      <w:hyperlink r:id="rId10">
        <w:r>
          <w:rPr>
            <w:color w:val="0000EE"/>
            <w:u w:val="single"/>
          </w:rPr>
          <w:t>[2]</w:t>
        </w:r>
      </w:hyperlink>
      <w:r>
        <w:t xml:space="preserve"> (Reuters)</w:t>
      </w:r>
      <w:r/>
    </w:p>
    <w:p>
      <w:pPr>
        <w:pStyle w:val="ListBullet"/>
        <w:spacing w:line="240" w:lineRule="auto"/>
        <w:ind w:left="720"/>
      </w:pPr>
      <w:r/>
      <w:r>
        <w:t xml:space="preserve">Paragraph 3 – </w:t>
      </w:r>
      <w:hyperlink r:id="rId11">
        <w:r>
          <w:rPr>
            <w:color w:val="0000EE"/>
            <w:u w:val="single"/>
          </w:rPr>
          <w:t>[3]</w:t>
        </w:r>
      </w:hyperlink>
      <w:r>
        <w:t xml:space="preserve"> (Energi Mine Wikipedia)</w:t>
      </w:r>
      <w:r/>
    </w:p>
    <w:p>
      <w:pPr>
        <w:pStyle w:val="ListBullet"/>
        <w:spacing w:line="240" w:lineRule="auto"/>
        <w:ind w:left="720"/>
      </w:pPr>
      <w:r/>
      <w:r>
        <w:t xml:space="preserve">Paragraph 4 – </w:t>
      </w:r>
      <w:hyperlink r:id="rId12">
        <w:r>
          <w:rPr>
            <w:color w:val="0000EE"/>
            <w:u w:val="single"/>
          </w:rPr>
          <w:t>[4]</w:t>
        </w:r>
      </w:hyperlink>
      <w:r>
        <w:t xml:space="preserve"> (ClearVUE.Zero Wikipedia)</w:t>
      </w:r>
      <w:r/>
    </w:p>
    <w:p>
      <w:pPr>
        <w:pStyle w:val="ListBullet"/>
        <w:spacing w:line="240" w:lineRule="auto"/>
        <w:ind w:left="720"/>
      </w:pPr>
      <w:r/>
      <w:r>
        <w:t xml:space="preserve">Paragraph 5 – </w:t>
      </w:r>
      <w:hyperlink r:id="rId13">
        <w:r>
          <w:rPr>
            <w:color w:val="0000EE"/>
            <w:u w:val="single"/>
          </w:rPr>
          <w:t>[5]</w:t>
        </w:r>
      </w:hyperlink>
      <w:r>
        <w:t xml:space="preserve"> (AIoT Blockchain Journal), </w:t>
      </w:r>
      <w:hyperlink r:id="rId9">
        <w:r>
          <w:rPr>
            <w:color w:val="0000EE"/>
            <w:u w:val="single"/>
          </w:rPr>
          <w:t>[1]</w:t>
        </w:r>
      </w:hyperlink>
      <w:r>
        <w:t xml:space="preserve"> (Business Remedies)</w:t>
      </w:r>
      <w:r/>
    </w:p>
    <w:p>
      <w:pPr>
        <w:pStyle w:val="ListBullet"/>
        <w:spacing w:line="240" w:lineRule="auto"/>
        <w:ind w:left="720"/>
      </w:pPr>
      <w:r/>
      <w:r>
        <w:t xml:space="preserve">Paragraph 6 – </w:t>
      </w:r>
      <w:hyperlink r:id="rId9">
        <w:r>
          <w:rPr>
            <w:color w:val="0000EE"/>
            <w:u w:val="single"/>
          </w:rPr>
          <w:t>[1]</w:t>
        </w:r>
      </w:hyperlink>
      <w:r>
        <w:t xml:space="preserve"> (Business Remedies), </w:t>
      </w:r>
      <w:hyperlink r:id="rId10">
        <w:r>
          <w:rPr>
            <w:color w:val="0000EE"/>
            <w:u w:val="single"/>
          </w:rPr>
          <w:t>[2]</w:t>
        </w:r>
      </w:hyperlink>
      <w:r>
        <w:t xml:space="preserve"> (Reuters)</w:t>
      </w:r>
      <w:r/>
    </w:p>
    <w:p>
      <w:pPr>
        <w:pStyle w:val="ListBullet"/>
        <w:spacing w:line="240" w:lineRule="auto"/>
        <w:ind w:left="720"/>
      </w:pPr>
      <w:r/>
      <w:r>
        <w:t xml:space="preserve">Paragraph 7 – </w:t>
      </w:r>
      <w:hyperlink r:id="rId14">
        <w:r>
          <w:rPr>
            <w:color w:val="0000EE"/>
            <w:u w:val="single"/>
          </w:rPr>
          <w:t>[7]</w:t>
        </w:r>
      </w:hyperlink>
      <w:r>
        <w:t xml:space="preserve"> (Green Computing Wikipedia), </w:t>
      </w:r>
      <w:hyperlink r:id="rId10">
        <w:r>
          <w:rPr>
            <w:color w:val="0000EE"/>
            <w:u w:val="single"/>
          </w:rPr>
          <w:t>[2]</w:t>
        </w:r>
      </w:hyperlink>
      <w:r>
        <w:t xml:space="preserve"> (Reuters)</w:t>
      </w:r>
      <w:r/>
    </w:p>
    <w:p>
      <w:pPr>
        <w:pStyle w:val="ListBullet"/>
        <w:spacing w:line="240" w:lineRule="auto"/>
        <w:ind w:left="720"/>
      </w:pPr>
      <w:r/>
      <w:r>
        <w:t xml:space="preserve">Paragraph 8 – </w:t>
      </w:r>
      <w:hyperlink r:id="rId9">
        <w:r>
          <w:rPr>
            <w:color w:val="0000EE"/>
            <w:u w:val="single"/>
          </w:rPr>
          <w:t>[1]</w:t>
        </w:r>
      </w:hyperlink>
      <w:r>
        <w:t xml:space="preserve"> (Business Remedies), </w:t>
      </w:r>
      <w:hyperlink r:id="rId15">
        <w:r>
          <w:rPr>
            <w:color w:val="0000EE"/>
            <w:u w:val="single"/>
          </w:rPr>
          <w:t>[6]</w:t>
        </w:r>
      </w:hyperlink>
      <w:r>
        <w:t xml:space="preserve"> (Tech To Save The World Wikipedia)</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https://www.businessremedies.com/the-green-code-how-technology-is-powering-sustainable-business/</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https://www.reuters.com/sustainability/sustainable-finance-reporting/comment-ai-could-supercharge-esg-only-if-people-remain-charge-2024-04-10/</w:t>
        </w:r>
      </w:hyperlink>
      <w:r>
        <w:t xml:space="preserve"> - This article discusses the role of artificial intelligence (AI) in enhancing environmental, social, and governance (ESG) investments by improving data analysis and uncovering hidden correlations. AI, along with machine learning and natural language processing (NLP), can process large amounts of data quickly, offering nuanced insights into ESG factors. However, challenges remain due to the abstract nature of sustainable business practices and the limits of standardized measurements. Reliable assessments of issues like human rights and inclusion still require judgment beyond what AI can provide. The article emphasizes the necessity of human involvement in interpreting data and making decisions. Despite AI’s ability to manage complex data, it cannot fully predict future sustainability risks or replace human insight. The author cautions against over-reliance on AI, advocating for a balanced approach that leverages rich, inclusive data sources and values human judgment for meaningful ESG analysis.</w:t>
      </w:r>
      <w:r/>
    </w:p>
    <w:p>
      <w:pPr>
        <w:pStyle w:val="ListNumber"/>
        <w:spacing w:line="240" w:lineRule="auto"/>
        <w:ind w:left="720"/>
      </w:pPr>
      <w:r/>
      <w:hyperlink r:id="rId11">
        <w:r>
          <w:rPr>
            <w:color w:val="0000EE"/>
            <w:u w:val="single"/>
          </w:rPr>
          <w:t>https://en.wikipedia.org/wiki/Energi_Mine</w:t>
        </w:r>
      </w:hyperlink>
      <w:r>
        <w:t xml:space="preserve"> - Energi Mine is a United Kingdom-based blockchain technology company that develops products in the energy management sector. It uses deep learning artificial intelligence models to trade and manage energy. In February 2018, Energi Mine completed an initial coin offering (ICO). Energi Mine has a blockchain-driven platform that decentralizes the global energy market by incentivizing energy conservation. Consumers and organisations are issued with ETK Tokens to reward energy efficient behaviour. The tokens can be used to pay electricity bills, buy energy-efficient appliances and take public transport. The company was founded in 2016 by Omar Rahim, who serves as its CEO. Energi Mine was covered in the news when it appointed an AI robot, Sasha to its management board to make algorithmic decisions.</w:t>
      </w:r>
      <w:r/>
    </w:p>
    <w:p>
      <w:pPr>
        <w:pStyle w:val="ListNumber"/>
        <w:spacing w:line="240" w:lineRule="auto"/>
        <w:ind w:left="720"/>
      </w:pPr>
      <w:r/>
      <w:hyperlink r:id="rId12">
        <w:r>
          <w:rPr>
            <w:color w:val="0000EE"/>
            <w:u w:val="single"/>
          </w:rPr>
          <w:t>https://en.wikipedia.org/wiki/ClearVUE.Zero</w:t>
        </w:r>
      </w:hyperlink>
      <w:r>
        <w:t xml:space="preserve"> - ClearVUE.Zero is an energy management software platform developed by ClearVUE.Business, a technology and consulting subsidiary of Global Procurement Group, founded in 2017. The platform is used to monitor business energy consumption and greenhouse gas emissions, and is applied in corporate sustainability reporting and net zero strategies. The platform combines energy monitoring with carbon accounting functions. Its main features include: real-time monitoring of electricity, gas, and water; virtual metering across multiple sites and circuits; dashboards for exploring and analysing historical data; automated reporting for compliance with energy and emissions regulations (e.g. SECR, EED, ESOS); alerts when consumption, cost, or emissions exceed set limits; identification of time-of-use charges and potential cost-saving opportunities (e.g. reducing UK DUoS charges by shifting consumption across red, amber, and green bands). In 2022, Malta's Public Abattoir adopted the platform to monitor electricity use and greenhouse gas emissions and Watford F.C. also implemented it as part of its net zero programme. In 2023, Capital Reinforcing, a UK-based steel company, adopted the system to improve energy efficiency. SureScreen Diagnostics reported savings of about 33,300 kWh of electricity and 6.9 tonnes of CO₂e after introducing the platform across its operations. In the same year, ThyssenKrupp Materials UK announced plans to deploy ClearVUE.Zero across five sites to measure Scope 1 and Scope 2 emissions in support of its 2030 carbon neutrality target. In early 2024, Carnoustie Golf Links partnered with ClearVUE.Business to reduce emissions and improve energy efficiency. Other notable adopters include the Morgan Motor Company, which used ClearVUE.Zero to measure energy usage in its painting process and Yorkshire Wildlife Park, which introduced the system to monitor energy use across its facilities, including new animal enclosures.</w:t>
      </w:r>
      <w:r/>
    </w:p>
    <w:p>
      <w:pPr>
        <w:pStyle w:val="ListNumber"/>
        <w:spacing w:line="240" w:lineRule="auto"/>
        <w:ind w:left="720"/>
      </w:pPr>
      <w:r/>
      <w:hyperlink r:id="rId13">
        <w:r>
          <w:rPr>
            <w:color w:val="0000EE"/>
            <w:u w:val="single"/>
          </w:rPr>
          <w:t>https://fupress.org/journal/EICSS/index.php/journal/article/view/65</w:t>
        </w:r>
      </w:hyperlink>
      <w:r>
        <w:t xml:space="preserve"> - This paper presents a blockchain-enabled AIoT framework to enhance transparency in circular economy supply chains. By integrating artificial intelligence (AI) for predictive analytics, Internet of Things (IoT) sensors for real-time monitoring, and blockchain for immutable record-keeping, the authors develop a comprehensive system for tracking resource reuse, recycling processes, and ethical sourcing. The approach employs deep learning models to predict supply chain waste patterns while IoT networks provide continuous material flow data. Smart contracts automate compliance verification for fair-trade practices and carbon credit management, significantly reducing manual auditing requirements.</w:t>
      </w:r>
      <w:r/>
    </w:p>
    <w:p>
      <w:pPr>
        <w:pStyle w:val="ListNumber"/>
        <w:spacing w:line="240" w:lineRule="auto"/>
        <w:ind w:left="720"/>
      </w:pPr>
      <w:r/>
      <w:hyperlink r:id="rId15">
        <w:r>
          <w:rPr>
            <w:color w:val="0000EE"/>
            <w:u w:val="single"/>
          </w:rPr>
          <w:t>https://en.wikipedia.org/wiki/Tech_to_Save_the_World</w:t>
        </w:r>
      </w:hyperlink>
      <w:r>
        <w:t xml:space="preserve"> - Tech To Save The World is a 2025 documentary television series produced by Channel News Asia, focusing on how emerging technologies are being used to combat environmental degradation and climate change. The four-part series explores innovative applications of artificial intelligence, blockchain, drones, and data analytics across various global contexts. Each episode of the series highlights a different environmental challenge and examines how modern technological solutions are deployed to address them. The documentary emphasizes both scientific innovation and human ingenuity in the global fight against climate change.</w:t>
      </w:r>
      <w:r/>
    </w:p>
    <w:p>
      <w:pPr>
        <w:pStyle w:val="ListNumber"/>
        <w:spacing w:line="240" w:lineRule="auto"/>
        <w:ind w:left="720"/>
      </w:pPr>
      <w:r/>
      <w:hyperlink r:id="rId14">
        <w:r>
          <w:rPr>
            <w:color w:val="0000EE"/>
            <w:u w:val="single"/>
          </w:rPr>
          <w:t>https://en.wikipedia.org/wiki/Green_computing</w:t>
        </w:r>
      </w:hyperlink>
      <w:r>
        <w:t xml:space="preserve"> - Green computing, also known as green IT, refers to the study and practice of environmentally sustainable computing or information technology. The goals of green computing include optimising energy efficiency during the product's lifecycle; leveraging greener energy sources to power the product and its network; improving the reusability, maintainability, and repairability of the product to extend its lifecycle; improving the recyclability or biodegradability of e-waste to support circular economy ambitions; and aligning the manufacture and use of IT systems with environmental and social goals. Green computing is important for all classes of systems, ranging from handheld systems to large-scale data centres. According to the International Energy Agency, data centres accounted for about 1.5% of global electricity consumption in 2024 (~415 TWh), and under its central scenario, demand could roughly double to ~945 TWh by 2030, with AI workloads a major driver of growth.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remedies.com/the-green-code-how-technology-is-powering-sustainable-business/" TargetMode="External"/><Relationship Id="rId10" Type="http://schemas.openxmlformats.org/officeDocument/2006/relationships/hyperlink" Target="https://www.reuters.com/sustainability/sustainable-finance-reporting/comment-ai-could-supercharge-esg-only-if-people-remain-charge-2024-04-10/" TargetMode="External"/><Relationship Id="rId11" Type="http://schemas.openxmlformats.org/officeDocument/2006/relationships/hyperlink" Target="https://en.wikipedia.org/wiki/Energi_Mine" TargetMode="External"/><Relationship Id="rId12" Type="http://schemas.openxmlformats.org/officeDocument/2006/relationships/hyperlink" Target="https://en.wikipedia.org/wiki/ClearVUE.Zero" TargetMode="External"/><Relationship Id="rId13" Type="http://schemas.openxmlformats.org/officeDocument/2006/relationships/hyperlink" Target="https://fupress.org/journal/EICSS/index.php/journal/article/view/65" TargetMode="External"/><Relationship Id="rId14" Type="http://schemas.openxmlformats.org/officeDocument/2006/relationships/hyperlink" Target="https://en.wikipedia.org/wiki/Green_computing" TargetMode="External"/><Relationship Id="rId15" Type="http://schemas.openxmlformats.org/officeDocument/2006/relationships/hyperlink" Target="https://en.wikipedia.org/wiki/Tech_to_Save_the_Worl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