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firms face stark gap between cybersecurity policies and real-world practice, exposing critical sectors to escalating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companies continue to grapple with a persistent cybersecurity question: despite having robust cybersecurity policies, why do breaches still occur? A recently published Skillcast Cyber Culture Clash Index offers a revealing analysis by comparing what organisations outline in their cybersecurity policies versus their actual practices across eight key sectors in the UK.</w:t>
      </w:r>
      <w:r/>
    </w:p>
    <w:p>
      <w:r/>
      <w:r>
        <w:t>The index evaluates alignment, or lack thereof, between policy indicators such as the frequency of privacy policy updates, the presence of documented cybersecurity policies, and references to ISO 27001 standards, against practice indicators like phishing failure rates, staffing ratios for cybersecurity teams, and reports made to the Information Commissioner’s Office (ICO).</w:t>
      </w:r>
      <w:r/>
    </w:p>
    <w:p>
      <w:r/>
      <w:r>
        <w:t>Sector-specific findings underscore different dynamics. In healthcare and pharmaceuticals, operational execution notably outpaces policy formulation. This sector, handling extremely sensitive data under GDPR, often lacks critical elements like incident service-level agreements (SLAs), clear escalation routes, and regular policy refreshes, which leaves it vulnerable to operational disruption. The recent 2024 cyber-attack on Synnovis, a major NHS pathology supplier in London, starkly illustrated this point by disrupting clinical services and delaying urgent outpatient procedures, underscoring the potentially severe consequences of supplier-targeted ransomware attacks. Reports from the NHS Blood and Transplant Annual Report and the National Cyber Security Centre’s Annual Review confirm this incident’s impact, highlighting the urgent need for robust cybersecurity in healthcare supply chains.</w:t>
      </w:r>
      <w:r/>
    </w:p>
    <w:p>
      <w:r/>
      <w:r>
        <w:t>Conversely, retail and financial services sectors show a much tighter integration between policy and practice. Frequent policy updates, explicit adherence to ISO 27001 standards, and strong leadership accountability, often through a designated chief information security officer (CISO), characterise these sectors. Nevertheless, both sectors remain exposed to social engineering threats and risks posed by their supplier networks, signalling the ongoing challenge of managing third-party vulnerabilities.</w:t>
      </w:r>
      <w:r/>
    </w:p>
    <w:p>
      <w:r/>
      <w:r>
        <w:t>The transport, manufacturing, energy, and technology sectors demonstrate more mixed and concerning pictures. Transport sector scores are low overall; manufacturing lags in updating policies and sustains lower cyber staffing levels. The energy and utilities sectors reveal the widest gaps between policy and practice, potentially linked to the accelerating digital transformation which increases exposure to cyber threats. In the technology and software sectors, often deemed cybersecurity-savvy, the Skillcast report highlights the largest disparity: while policy documents and headcount are strong, operational resilience lags markedly. Only 36% alignment between policy and practice has been observed, indicating that implementation still struggles with real-world cyber defence, necessitating a cultural shift for policies to translate into consistent daily practice.</w:t>
      </w:r>
      <w:r/>
    </w:p>
    <w:p>
      <w:r/>
      <w:r>
        <w:t>Addressing this policy-practice gap involves strategic measures that extend beyond documentation. Skillcast recommends a comprehensive approach including rigorous tracking of incident response metrics like time-to-detect, contain, and recover; maintaining phishing failure rates in high-risk units below 3%; publishing quarterly security scorecards for accountability; and dynamically updating policies. Supplier risk management also requires enhancements: classifying suppliers by risk, imposing incident notification SLAs, multi-factor authentication (MFA), and controlled access, alongside regular supplier security testing and breach simulations.</w:t>
      </w:r>
      <w:r/>
    </w:p>
    <w:p>
      <w:r/>
      <w:r>
        <w:t>Further, placing resources in high-risk areas rather than spreading them evenly, and ensuring security staffing ratios at or above 2% in high-exposure environments, are critical to resilience. Companies need to embed threat hunting, identity management, and ongoing training alongside technology investments. Transparency practices, such as providing the board with integrated security posture reports including incident impacts, insurance recovery, and planned improvements quarterly, are also advocated.</w:t>
      </w:r>
      <w:r/>
    </w:p>
    <w:p>
      <w:r/>
      <w:r>
        <w:t>The UK government complements these initiatives by advancing international guidance to safeguard critical businesses from ransomware attacks, especially those targeting supply chains, a primary vulnerability highlighted across sectors. This leadership aims to promote better cyber hygiene and improve threat awareness globally, reinforcing efforts companies must adopt internally. The government’s upcoming 2025 cybersecurity survey and the ICO’s public incident dashboards offer benchmarks for measuring organisational maturity and incident trends.</w:t>
      </w:r>
      <w:r/>
    </w:p>
    <w:p>
      <w:r/>
      <w:r>
        <w:t>Ultimately, the Skillcast Cyber Culture Clash Index reiterates a fundamental cybersecurity axiom: no matter how strong policies appear on paper, breaches remain ‘when, not if’ scenarios. Effective leadership must therefore focus on closing this policy-practice divide by institutionalising rehearsed recovery plans, continuous behavioural measurements, and complete transparency in documenting cybersecurity metrics and procedures. This cultural shift, from policy as static compliance documents to dynamic, embedded practice, is essential to building resilient organisations capable of withstanding the increasingly sophisticated cyber threat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TechHQ - Paragraphs 1, 2, 3, 5, 6, 7, 8, 9, 10</w:t>
      </w:r>
      <w:r/>
    </w:p>
    <w:p>
      <w:pPr>
        <w:pStyle w:val="ListBullet"/>
        <w:spacing w:line="240" w:lineRule="auto"/>
        <w:ind w:left="720"/>
      </w:pPr>
      <w:r/>
      <w:hyperlink r:id="rId10">
        <w:r>
          <w:rPr>
            <w:color w:val="0000EE"/>
            <w:u w:val="single"/>
          </w:rPr>
          <w:t>[2]</w:t>
        </w:r>
      </w:hyperlink>
      <w:r>
        <w:t xml:space="preserve"> Skillcast Cyber Culture Clash Index Report - Paragraphs 4, 7</w:t>
      </w:r>
      <w:r/>
    </w:p>
    <w:p>
      <w:pPr>
        <w:pStyle w:val="ListBullet"/>
        <w:spacing w:line="240" w:lineRule="auto"/>
        <w:ind w:left="720"/>
      </w:pPr>
      <w:r/>
      <w:hyperlink r:id="rId11">
        <w:r>
          <w:rPr>
            <w:color w:val="0000EE"/>
            <w:u w:val="single"/>
          </w:rPr>
          <w:t>[3]</w:t>
        </w:r>
      </w:hyperlink>
      <w:r>
        <w:t xml:space="preserve"> Advanced Television - Paragraph 4</w:t>
      </w:r>
      <w:r/>
    </w:p>
    <w:p>
      <w:pPr>
        <w:pStyle w:val="ListBullet"/>
        <w:spacing w:line="240" w:lineRule="auto"/>
        <w:ind w:left="720"/>
      </w:pPr>
      <w:r/>
      <w:hyperlink r:id="rId12">
        <w:r>
          <w:rPr>
            <w:color w:val="0000EE"/>
            <w:u w:val="single"/>
          </w:rPr>
          <w:t>[4]</w:t>
        </w:r>
      </w:hyperlink>
      <w:r>
        <w:t xml:space="preserve"> Skillcast Blog - Paragraph 3</w:t>
      </w:r>
      <w:r/>
    </w:p>
    <w:p>
      <w:pPr>
        <w:pStyle w:val="ListBullet"/>
        <w:spacing w:line="240" w:lineRule="auto"/>
        <w:ind w:left="720"/>
      </w:pPr>
      <w:r/>
      <w:hyperlink r:id="rId13">
        <w:r>
          <w:rPr>
            <w:color w:val="0000EE"/>
            <w:u w:val="single"/>
          </w:rPr>
          <w:t>[5]</w:t>
        </w:r>
      </w:hyperlink>
      <w:r>
        <w:t xml:space="preserve"> UK Government - Paragraph 9</w:t>
      </w:r>
      <w:r/>
    </w:p>
    <w:p>
      <w:pPr>
        <w:pStyle w:val="ListBullet"/>
        <w:spacing w:line="240" w:lineRule="auto"/>
        <w:ind w:left="720"/>
      </w:pPr>
      <w:r/>
      <w:hyperlink r:id="rId14">
        <w:r>
          <w:rPr>
            <w:color w:val="0000EE"/>
            <w:u w:val="single"/>
          </w:rPr>
          <w:t>[6]</w:t>
        </w:r>
      </w:hyperlink>
      <w:r>
        <w:t xml:space="preserve"> NHS Blood and Transplant Report - Paragraph 3</w:t>
      </w:r>
      <w:r/>
    </w:p>
    <w:p>
      <w:pPr>
        <w:pStyle w:val="ListBullet"/>
        <w:spacing w:line="240" w:lineRule="auto"/>
        <w:ind w:left="720"/>
      </w:pPr>
      <w:r/>
      <w:hyperlink r:id="rId15">
        <w:r>
          <w:rPr>
            <w:color w:val="0000EE"/>
            <w:u w:val="single"/>
          </w:rPr>
          <w:t>[7]</w:t>
        </w:r>
      </w:hyperlink>
      <w:r>
        <w:t xml:space="preserve"> NCSC Annual Review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https://techhq.com/news/cyber-index/</w:t>
        </w:r>
      </w:hyperlink>
      <w:r>
        <w:t xml:space="preserve"> - Please view link - unable to able to access data</w:t>
      </w:r>
      <w:r/>
    </w:p>
    <w:p>
      <w:pPr>
        <w:pStyle w:val="ListNumber"/>
        <w:spacing w:line="240" w:lineRule="auto"/>
        <w:ind w:left="720"/>
      </w:pPr>
      <w:r/>
      <w:hyperlink r:id="rId10">
        <w:r>
          <w:rPr>
            <w:color w:val="0000EE"/>
            <w:u w:val="single"/>
          </w:rPr>
          <w:t>https://www.skillcast.com/cyber-culture-clash-index-report</w:t>
        </w:r>
      </w:hyperlink>
      <w:r>
        <w:t xml:space="preserve"> - The Cyber Culture Clash Index Report by Skillcast examines the gap between written cybersecurity policies and real-world practices across various UK sectors. It reveals that the technology sector has the widest gap, with only 36% alignment between policy and practice. The report highlights that while technology firms have strong policies, their operational resilience lags behind, indicating a need for improved implementation of cybersecurity measures.</w:t>
      </w:r>
      <w:r/>
    </w:p>
    <w:p>
      <w:pPr>
        <w:pStyle w:val="ListNumber"/>
        <w:spacing w:line="240" w:lineRule="auto"/>
        <w:ind w:left="720"/>
      </w:pPr>
      <w:r/>
      <w:hyperlink r:id="rId11">
        <w:r>
          <w:rPr>
            <w:color w:val="0000EE"/>
            <w:u w:val="single"/>
          </w:rPr>
          <w:t>https://www.skillcast.com/skillcast-press/uk-tech-sector-has-largest-cyber-gap-advance-television</w:t>
        </w:r>
      </w:hyperlink>
      <w:r>
        <w:t xml:space="preserve"> - An article from Advanced Television discusses the findings of Skillcast's Cyber Culture Clash Report, focusing on the technology sector's significant cybersecurity policy-practice gap. Despite having robust policies, technology firms exhibit poor operational resilience, with only 36% alignment between policy and practice. The article underscores the need for these companies to enhance their cybersecurity implementation to mitigate risks effectively.</w:t>
      </w:r>
      <w:r/>
    </w:p>
    <w:p>
      <w:pPr>
        <w:pStyle w:val="ListNumber"/>
        <w:spacing w:line="240" w:lineRule="auto"/>
        <w:ind w:left="720"/>
      </w:pPr>
      <w:r/>
      <w:hyperlink r:id="rId12">
        <w:r>
          <w:rPr>
            <w:color w:val="0000EE"/>
            <w:u w:val="single"/>
          </w:rPr>
          <w:t>https://www.skillcast.com/blog/cyber-culture-clash-are-uk-companies-hiding-behind-policies</w:t>
        </w:r>
      </w:hyperlink>
      <w:r>
        <w:t xml:space="preserve"> - Skillcast's blog post delves into the Cyber Culture Clash Index, highlighting the disparity between cybersecurity policies and actual practices in UK businesses. It notes that while healthcare and pharmaceutical sectors excel operationally, their practice outpaces policy by 5:1, suggesting strong execution could be masking weak governance frameworks. The post emphasizes the importance of aligning policies with practices to build true cyber resilience.</w:t>
      </w:r>
      <w:r/>
    </w:p>
    <w:p>
      <w:pPr>
        <w:pStyle w:val="ListNumber"/>
        <w:spacing w:line="240" w:lineRule="auto"/>
        <w:ind w:left="720"/>
      </w:pPr>
      <w:r/>
      <w:hyperlink r:id="rId13">
        <w:r>
          <w:rPr>
            <w:color w:val="0000EE"/>
            <w:u w:val="single"/>
          </w:rPr>
          <w:t>https://www.gov.uk/government/news/uk-leads-global-fight-to-stop-ransomware-attacks-on-supply-chains</w:t>
        </w:r>
      </w:hyperlink>
      <w:r>
        <w:t xml:space="preserve"> - The UK government, in collaboration with Singapore, has issued new international guidance to protect critical businesses and services from ransomware attacks targeting supply chains. The guidance aims to help organisations identify and address vulnerabilities in their supply chains, promoting good cyber hygiene and raising awareness of ransomware threats. This initiative underscores the UK's leadership in combating cyber threats on a global scale.</w:t>
      </w:r>
      <w:r/>
    </w:p>
    <w:p>
      <w:pPr>
        <w:pStyle w:val="ListNumber"/>
        <w:spacing w:line="240" w:lineRule="auto"/>
        <w:ind w:left="720"/>
      </w:pPr>
      <w:r/>
      <w:hyperlink r:id="rId14">
        <w:r>
          <w:rPr>
            <w:color w:val="0000EE"/>
            <w:u w:val="single"/>
          </w:rPr>
          <w:t>https://assets.publishing.service.gov.uk/media/6878a0f80263c35f52e4dcd3/nhsbt-annual-report-and-accounts-2024-to-2025.pdf</w:t>
        </w:r>
      </w:hyperlink>
      <w:r>
        <w:t xml:space="preserve"> - The NHS Blood and Transplant Annual Report and Accounts 2024-25 details operational challenges, including a cyber-attack on Synnovis, a major pathology provider to NHS trusts in London. The attack disrupted access to critical laboratory systems, posing serious risks to patient safety. The report highlights the need for robust cybersecurity measures to protect essential healthcare services.</w:t>
      </w:r>
      <w:r/>
    </w:p>
    <w:p>
      <w:pPr>
        <w:pStyle w:val="ListNumber"/>
        <w:spacing w:line="240" w:lineRule="auto"/>
        <w:ind w:left="720"/>
      </w:pPr>
      <w:r/>
      <w:hyperlink r:id="rId15">
        <w:r>
          <w:rPr>
            <w:color w:val="0000EE"/>
            <w:u w:val="single"/>
          </w:rPr>
          <w:t>https://www.ncsc.gov.uk/files/NCSC_Annual_Review_2024.pdf</w:t>
        </w:r>
      </w:hyperlink>
      <w:r>
        <w:t xml:space="preserve"> - The National Cyber Security Centre's Annual Review 2024 highlights significant cyber threats, including a ransomware attack on Synnovis, a pathology laboratory supplier to the NHS. The attack led to delays in elective procedures and outpatient appointments, demonstrating the critical impact of cyber incidents on healthcare services. The review emphasizes the importance of cybersecurity in safeguarding public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hq.com/news/cyber-index/" TargetMode="External"/><Relationship Id="rId10" Type="http://schemas.openxmlformats.org/officeDocument/2006/relationships/hyperlink" Target="https://www.skillcast.com/cyber-culture-clash-index-report" TargetMode="External"/><Relationship Id="rId11" Type="http://schemas.openxmlformats.org/officeDocument/2006/relationships/hyperlink" Target="https://www.skillcast.com/skillcast-press/uk-tech-sector-has-largest-cyber-gap-advance-television" TargetMode="External"/><Relationship Id="rId12" Type="http://schemas.openxmlformats.org/officeDocument/2006/relationships/hyperlink" Target="https://www.skillcast.com/blog/cyber-culture-clash-are-uk-companies-hiding-behind-policies" TargetMode="External"/><Relationship Id="rId13" Type="http://schemas.openxmlformats.org/officeDocument/2006/relationships/hyperlink" Target="https://www.gov.uk/government/news/uk-leads-global-fight-to-stop-ransomware-attacks-on-supply-chains" TargetMode="External"/><Relationship Id="rId14" Type="http://schemas.openxmlformats.org/officeDocument/2006/relationships/hyperlink" Target="https://assets.publishing.service.gov.uk/media/6878a0f80263c35f52e4dcd3/nhsbt-annual-report-and-accounts-2024-to-2025.pdf" TargetMode="External"/><Relationship Id="rId15" Type="http://schemas.openxmlformats.org/officeDocument/2006/relationships/hyperlink" Target="https://www.ncsc.gov.uk/files/NCSC_Annual_Review_2024.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