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AI’s transformative rise in mortgage-backed securities sparks both efficiency gains and systemic risk concerns in 2025</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mortgage-backed securities (MBS) market is undergoing a profound transformation in 2025 as artificial intelligence (AI) shifts from a supplementary tool to an indispensable element across the entire mortgage lifecycle. Advances in AI-driven predictive analytics, natural language processing (NLP), and generative AI have sharply enhanced operational efficiencies and analytical capabilities, enabling lenders and investors to navigate the complexities of mortgage data with unprecedented speed and accuracy. AI's ability to improve prepayment forecasting, credit risk assessment, fraud detection, and regulatory compliance is revolutionizing industry standards while raising significant concerns about systemic risks reminiscent of the conditions preceding the 2007 financial crisis.</w:t>
      </w:r>
      <w:r/>
    </w:p>
    <w:p>
      <w:r/>
      <w:r>
        <w:t>AI’s transformative potential lies in its deep integration into core MBS functions. Machine learning models such as Random Forests and Neural Networks deliver prepayment prediction improvements of 15-20% over traditional techniques, reducing model development time from months to hours. Leading lenders like Rocket Mortgage report processing over 1.5 million documents monthly, with AI automating 70% of data identification and cutting loan closing times by a quarter. The automation of underwriting through AI drastically lowers application processing times by as much as 96%, enabling near-instantaneous loan decisions and freeing human underwriters to focus on higher-value tasks. Neural networks also facilitate real-time bond pricing and fraud monitoring with enhanced interpretability tools like Shapley Additive Explanations (SHAP). By converting formerly paper-laden workflows into seamless digital processes, AI is overcoming legacy bottlenecks and delivering comprehensive real-time insights.</w:t>
      </w:r>
      <w:r/>
    </w:p>
    <w:p>
      <w:r/>
      <w:r>
        <w:t>This technological leap is reshaping the competitive and corporate landscape. AI companies specializing in financial analytics and machine learning, such as SoftWorks, Blend, Upstart, and Zest AI, are benefiting from surging demand for intelligent automation and risk models. Meanwhile, tech giants including Amazon, Google, Microsoft, Meta, Apple, and IBM are strategically investing in AI infrastructure, from cloud platforms to specialised chips developed by NVIDIA, AMD, and Broadcom, positioning themselves as indispensable technology enablers in financial services. These titans also explore direct mortgage integrations or invest in AI startups to broaden their capabilities. Startups face challenges in funding and legacy system integration but gain ground through accessible cloud AI services. This dynamic fosters intense competitive and strategic partnerships, though some caution against an emerging AI market bubble. Early AI adoption is providing a distinct competitive advantage, with firms emphasizing ethical AI usage, regulatory compliance, and workforce retraining to improve trust and effectiveness.</w:t>
      </w:r>
      <w:r/>
    </w:p>
    <w:p>
      <w:r/>
      <w:r>
        <w:t>Beyond immediate operational benefits, AI's broader integration into finance signals a landmark strategic shift. Forecasts estimate the global AI fintech market expanding from $17.7 billion in 2025 to nearly $74 billion by 2033. Within MBS, AI-powered platforms enhance credit scoring through sophisticated multimodal deep learning that merges textual, image, and sentiment data to exceed traditional commercial scorecard performance. Simultaneously, regulatory-driven data standardization initiatives such as the Uniform Appraisal Dataset (UAD) 3.6 implementation in 2026 are creating fertile ground for AI-augmented valuation frameworks that improve appraisal consistency and fairness. These advances align with evolving efforts to replicate private equity returns via AI-enhanced liquid strategies, addressing long-standing opacity and liquidity concerns. However, the proliferation of complex AI systems amplifies risks: algorithmic bias, and the risk of perpetuating discriminatory lending practices known as “digital redlining”, remains a critical ethical issue. The “black box” nature of some AI models also complicates transparency, explainability, and regulatory compliance, echoing systemic vulnerabilities partly responsible for the 2007 crisis.</w:t>
      </w:r>
      <w:r/>
    </w:p>
    <w:p>
      <w:r/>
      <w:r>
        <w:t>Additional financial market factors intersect with this AI-driven evolution. For instance, prominent bond firm PIMCO has urged the Federal Reserve to halt its unwind of MBS holdings on the balance sheet, warning that continuing quantitative tightening has kept mortgage spreads historically wide, sustaining high mortgage rates that threaten housing affordability. PIMCO argues that reinvesting in MBS could lower mortgage rates by 20 to 50 basis points, potentially matching the impact of a sizable fed funds rate cut. Such policy interventions could interact with AI-enhanced risk assessments and trading platforms, catalysing further market stability or volatility depending on execution.</w:t>
      </w:r>
      <w:r/>
    </w:p>
    <w:p>
      <w:r/>
      <w:r>
        <w:t>Looking ahead, the next few years will solidify AI's role in MBS markets. Short term expectations include widespread automation of routine tasks, faster loan processing with reduced costs, more adaptive risk modeling, and enhanced compliance monitoring. The ongoing “electronification” of MBS trading, shifting from voice to electronic platforms, promises better price transparency and liquidity. In the medium term, AI agents able to autonomously execute complex tasks and scenario simulations evaluating macroeconomic impacts will emerge. AI will become an embedded intelligence core, enabling deeper integration of unstructured data insights and customization of mortgage products while augmenting human expert roles. Advanced applications could include climate risk assessments for vulnerable loans, real-time automated valuation models, and optimized loan selection for securitisation.</w:t>
      </w:r>
      <w:r/>
    </w:p>
    <w:p>
      <w:r/>
      <w:r>
        <w:t>Nonetheless, significant challenges persist. High-quality data access, cybersecurity, privacy protection, and legacy system integration remain priorities. Ethical concerns demand ongoing attention to avoid reinforcement of bias and ensure accountability. Regulatory frameworks are evolving but still lag behind AI innovation, heightening uncertainty. Moreover, generative AI’s potential to produce false or misleading outputs (“hallucinations”) introduces serious risks for financial decision-making. Industry experts predict that rather than outright job displacement, AI adoption will primarily focus on augmenting human capabilities and necessitate retraining.</w:t>
      </w:r>
      <w:r/>
    </w:p>
    <w:p>
      <w:r/>
      <w:r>
        <w:t>Companies active in the evolving mortgage landscape exemplify these trends. Beeline, for instance, has achieved rapid revenue growth by focusing on non-qualified mortgage (Non-QM) lending, which appeals to underserved Millennial and Gen Z homebuyers. They are deploying AI chatbots and digital sales platforms to boost application conversion and improve customer experience, underscoring AI’s strategic value in addressing niche market needs in a competitive yet fragmented mortgage environment.</w:t>
      </w:r>
      <w:r/>
    </w:p>
    <w:p>
      <w:r/>
      <w:r>
        <w:t>In conclusion, AI’s integration into mortgage-backed securities is reshaping financial markets at multiple levels. While delivering revolutionary gains in efficiency, accuracy, and insight, it reopens debates on systemic risks similar to those before the 2007 financial crisis. The path forward demands not only technological innovation but also rigorous ethical governance, regulatory clarity, and human-AI collaboration. As regulatory reforms take shape globally and AI-powered systems become increasingly agentic, financial institutions must carefully balance ambition with prudence to harness AI’s transformative potential without repeating historical mistakes. The AI revolution in mortgage finance is no longer on the horizon, it is here, dynamically redefining risk management, transactional processes, and market structure.</w:t>
      </w:r>
      <w:r/>
    </w:p>
    <w:p>
      <w:pPr>
        <w:pStyle w:val="Heading3"/>
      </w:pPr>
      <w:r>
        <w:t>📌 Reference Map:</w:t>
      </w:r>
      <w:r/>
      <w:r/>
    </w:p>
    <w:p>
      <w:pPr>
        <w:pStyle w:val="ListBullet"/>
        <w:spacing w:line="240" w:lineRule="auto"/>
        <w:ind w:left="720"/>
      </w:pPr>
      <w:r/>
      <w:hyperlink r:id="rId9">
        <w:r>
          <w:rPr>
            <w:color w:val="0000EE"/>
            <w:u w:val="single"/>
          </w:rPr>
          <w:t>[1]</w:t>
        </w:r>
      </w:hyperlink>
      <w:r>
        <w:t xml:space="preserve"> (TokenRing AI / FinancialContent) - Paragraphs 1, 2, 3, 5, 6, 7, 8, 9</w:t>
      </w:r>
      <w:r/>
    </w:p>
    <w:p>
      <w:pPr>
        <w:pStyle w:val="ListBullet"/>
        <w:spacing w:line="240" w:lineRule="auto"/>
        <w:ind w:left="720"/>
      </w:pPr>
      <w:r/>
      <w:hyperlink r:id="rId10">
        <w:r>
          <w:rPr>
            <w:color w:val="0000EE"/>
            <w:u w:val="single"/>
          </w:rPr>
          <w:t>[2]</w:t>
        </w:r>
      </w:hyperlink>
      <w:r>
        <w:t xml:space="preserve"> (Reuters) - Paragraph 4</w:t>
      </w:r>
      <w:r/>
    </w:p>
    <w:p>
      <w:pPr>
        <w:pStyle w:val="ListBullet"/>
        <w:spacing w:line="240" w:lineRule="auto"/>
        <w:ind w:left="720"/>
      </w:pPr>
      <w:r/>
      <w:hyperlink r:id="rId11">
        <w:r>
          <w:rPr>
            <w:color w:val="0000EE"/>
            <w:u w:val="single"/>
          </w:rPr>
          <w:t>[3]</w:t>
        </w:r>
      </w:hyperlink>
      <w:r>
        <w:t xml:space="preserve"> (arxiv.org – Private Equity Liquid Replication) - Paragraph 5</w:t>
      </w:r>
      <w:r/>
    </w:p>
    <w:p>
      <w:pPr>
        <w:pStyle w:val="ListBullet"/>
        <w:spacing w:line="240" w:lineRule="auto"/>
        <w:ind w:left="720"/>
      </w:pPr>
      <w:r/>
      <w:hyperlink r:id="rId12">
        <w:r>
          <w:rPr>
            <w:color w:val="0000EE"/>
            <w:u w:val="single"/>
          </w:rPr>
          <w:t>[4]</w:t>
        </w:r>
      </w:hyperlink>
      <w:r>
        <w:t xml:space="preserve"> (arxiv.org – Multimodal Deep Learning for Credit Scores) - Paragraph 5</w:t>
      </w:r>
      <w:r/>
    </w:p>
    <w:p>
      <w:pPr>
        <w:pStyle w:val="ListBullet"/>
        <w:spacing w:line="240" w:lineRule="auto"/>
        <w:ind w:left="720"/>
      </w:pPr>
      <w:r/>
      <w:hyperlink r:id="rId13">
        <w:r>
          <w:rPr>
            <w:color w:val="0000EE"/>
            <w:u w:val="single"/>
          </w:rPr>
          <w:t>[5]</w:t>
        </w:r>
      </w:hyperlink>
      <w:r>
        <w:t xml:space="preserve"> (arxiv.org – AI-Augmented Valuation &amp; UAD 3.6) - Paragraph 5</w:t>
      </w:r>
      <w:r/>
    </w:p>
    <w:p>
      <w:pPr>
        <w:pStyle w:val="ListBullet"/>
        <w:spacing w:line="240" w:lineRule="auto"/>
        <w:ind w:left="720"/>
      </w:pPr>
      <w:r/>
      <w:hyperlink r:id="rId14">
        <w:r>
          <w:rPr>
            <w:color w:val="0000EE"/>
            <w:u w:val="single"/>
          </w:rPr>
          <w:t>[6]</w:t>
        </w:r>
      </w:hyperlink>
      <w:r>
        <w:t xml:space="preserve"> (Streetwise Reports - Beeline) - Paragraph 7</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https://markets.financialcontent.com/wral/article/tokenring-2025-11-9-ais-double-edged-sword-revolutionizing-mortgage-backed-securities-while-echoing-2007s-warnings</w:t>
        </w:r>
      </w:hyperlink>
      <w:r>
        <w:t xml:space="preserve"> - Please view link - unable to able to access data</w:t>
      </w:r>
      <w:r/>
    </w:p>
    <w:p>
      <w:pPr>
        <w:pStyle w:val="ListNumber"/>
        <w:spacing w:line="240" w:lineRule="auto"/>
        <w:ind w:left="720"/>
      </w:pPr>
      <w:r/>
      <w:hyperlink r:id="rId10">
        <w:r>
          <w:rPr>
            <w:color w:val="0000EE"/>
            <w:u w:val="single"/>
          </w:rPr>
          <w:t>https://www.reuters.com/business/pimco-recommends-fed-halt-mortgage-unwind-boost-housing-market-2025-09-16/</w:t>
        </w:r>
      </w:hyperlink>
      <w:r>
        <w:t xml:space="preserve"> - PIMCO, a prominent U.S. bond firm, has recommended that the Federal Reserve halt its ongoing reduction of mortgage-backed securities (MBS) from its balance sheet to help lower mortgage rates and revive the housing market. Since the Fed began quantitative tightening in 2022, allowing MBS to roll off without reinvestment, mortgage spreads have remained historically wide—currently about 230 basis points—contributing to a high average 30-year mortgage rate of 6.35%. PIMCO’s Marc Seidner and Pramol Dhawan argue that reinvesting MBS proceeds could lower rates by 20–30 basis points, potentially offering the same impact as a 100-basis-point federal funds rate cut. A more aggressive strategy involving both reinvestment and active trading of MBS could reduce rates by 40–50 basis points. They assert these methods may be more effective than future rate cuts, warning that without a policy shift, high mortgage rates may persist through 2026, further straining home affordability. (</w:t>
      </w:r>
      <w:hyperlink r:id="rId16">
        <w:r>
          <w:rPr>
            <w:color w:val="0000EE"/>
            <w:u w:val="single"/>
          </w:rPr>
          <w:t>reuters.com</w:t>
        </w:r>
      </w:hyperlink>
      <w:r>
        <w:t>)</w:t>
      </w:r>
      <w:r/>
    </w:p>
    <w:p>
      <w:pPr>
        <w:pStyle w:val="ListNumber"/>
        <w:spacing w:line="240" w:lineRule="auto"/>
        <w:ind w:left="720"/>
      </w:pPr>
      <w:r/>
      <w:hyperlink r:id="rId11">
        <w:r>
          <w:rPr>
            <w:color w:val="0000EE"/>
            <w:u w:val="single"/>
          </w:rPr>
          <w:t>https://arxiv.org/abs/2510.23201</w:t>
        </w:r>
      </w:hyperlink>
      <w:r>
        <w:t xml:space="preserve"> - In response to growing demand for resilient and transparent financial instruments, this paper introduces a novel framework for replicating private equity (PE) performance using liquid, AI-enhanced strategies. Despite historically delivering robust returns, private equity's inherent illiquidity and lack of transparency raise significant concerns regarding investor trust and systemic stability, particularly in periods of heightened market volatility. The method uses advanced graphical models to decode liquid PE proxies and incorporates asymmetric risk adjustments that emulate private equity's unique performance dynamics. The result is a liquid, scalable solution that aligns closely with traditional quarterly PE benchmarks like Cambridge Associates and Preqin. This approach enhances portfolio resilience and contributes to the ongoing discourse on safe asset innovation, supporting market stability and investor confidence. (</w:t>
      </w:r>
      <w:hyperlink r:id="rId17">
        <w:r>
          <w:rPr>
            <w:color w:val="0000EE"/>
            <w:u w:val="single"/>
          </w:rPr>
          <w:t>arxiv.org</w:t>
        </w:r>
      </w:hyperlink>
      <w:r>
        <w:t>)</w:t>
      </w:r>
      <w:r/>
    </w:p>
    <w:p>
      <w:pPr>
        <w:pStyle w:val="ListNumber"/>
        <w:spacing w:line="240" w:lineRule="auto"/>
        <w:ind w:left="720"/>
      </w:pPr>
      <w:r/>
      <w:hyperlink r:id="rId12">
        <w:r>
          <w:rPr>
            <w:color w:val="0000EE"/>
            <w:u w:val="single"/>
          </w:rPr>
          <w:t>https://arxiv.org/abs/2510.22987</w:t>
        </w:r>
      </w:hyperlink>
      <w:r>
        <w:t xml:space="preserve"> - This study proposes a novel multimodal deep learning framework that uses cost-free, publicly available, unstructured data sources, including textual information, images, and sentiment scores, to generate credit scores that approximate commercial scorecards. The framework adopts a two-phase approach. In the unimodal phase, it identifies the best-performing models for each modality, i.e., BERT for text, VGG for image data, and a multilayer perceptron for sentiment-based features. In the fusion phase, it introduces the capsule-based fusion network (FusionCapsNet), a novel fusion strategy inspired by capsule networks, but fundamentally redesigned for multimodal integration. Unlike standard capsule networks, the method adapts a specific mechanism in capsule networks to each modality and restructures the fusion process to preserve spatial, contextual, and modality-specific information. It also enables adaptive weighting so that stronger modalities dominate without ignoring complementary signals. The framework incorporates sentiment analysis across distinct news categories to capture borrower and market dynamics and employs GradCAM-based visualizations as an interpretability tool. The results show that the multimodal FusionCapsNet framework not only exceeds individual unimodal models but also outperforms benchmark fusion strategies such as addition, concatenation, and cross attention in terms of AUC, partial AUC, and F1 score, demonstrating clear gains in both predictive accuracy and interpretability for mortgage risk assessment. (</w:t>
      </w:r>
      <w:hyperlink r:id="rId18">
        <w:r>
          <w:rPr>
            <w:color w:val="0000EE"/>
            <w:u w:val="single"/>
          </w:rPr>
          <w:t>arxiv.org</w:t>
        </w:r>
      </w:hyperlink>
      <w:r>
        <w:t>)</w:t>
      </w:r>
      <w:r/>
    </w:p>
    <w:p>
      <w:pPr>
        <w:pStyle w:val="ListNumber"/>
        <w:spacing w:line="240" w:lineRule="auto"/>
        <w:ind w:left="720"/>
      </w:pPr>
      <w:r/>
      <w:hyperlink r:id="rId13">
        <w:r>
          <w:rPr>
            <w:color w:val="0000EE"/>
            <w:u w:val="single"/>
          </w:rPr>
          <w:t>https://arxiv.org/abs/2508.02765</w:t>
        </w:r>
      </w:hyperlink>
      <w:r>
        <w:t xml:space="preserve"> - The Uniform Appraisal Dataset (UAD) 3.6's mandatory 2026 implementation transforms residential property valuation from narrative reporting to structured, machine-readable formats. This paper provides the first comprehensive analysis of this regulatory shift alongside concurrent AI advances in computer vision, natural language processing, and autonomous systems. The authors develop a three-layer framework for AI-augmented valuation addressing technical implementation and institutional trust requirements. The analysis reveals how regulatory standardization converging with AI capabilities enables fundamental market restructuring with profound implications for professional practice, efficiency, and systemic risk. The paper makes four key contributions: (1) documenting institutional failures including inter-appraiser variability and systematic biases undermining valuation reliability; (2) developing an architectural framework spanning physical data acquisition, semantic understanding, and cognitive reasoning that integrates emerging technologies while maintaining professional oversight; (3) addressing trust requirements for high-stakes financial applications including regulatory compliance, algorithmic fairness, and uncertainty quantification; (4) proposing evaluation methodologies beyond generic AI benchmarks toward domain-specific protocols. The findings indicate successful transformation requires not merely technological sophistication but careful human-AI collaboration, creating systems that augment rather than replace professional expertise while addressing historical biases and information asymmetries in real estate markets. (</w:t>
      </w:r>
      <w:hyperlink r:id="rId19">
        <w:r>
          <w:rPr>
            <w:color w:val="0000EE"/>
            <w:u w:val="single"/>
          </w:rPr>
          <w:t>arxiv.org</w:t>
        </w:r>
      </w:hyperlink>
      <w:r>
        <w:t>)</w:t>
      </w:r>
      <w:r/>
    </w:p>
    <w:p>
      <w:pPr>
        <w:pStyle w:val="ListNumber"/>
        <w:spacing w:line="240" w:lineRule="auto"/>
        <w:ind w:left="720"/>
      </w:pPr>
      <w:r/>
      <w:hyperlink r:id="rId14">
        <w:r>
          <w:rPr>
            <w:color w:val="0000EE"/>
            <w:u w:val="single"/>
          </w:rPr>
          <w:t>https://www.streetwisereports.com/article/2025/08/05/technology-company-positioned-for-excellent-us-real-estate-gains.html</w:t>
        </w:r>
      </w:hyperlink>
      <w:r>
        <w:t xml:space="preserve"> - Beeline's first transaction using this new model was successfully completed on June 25, 2025, establishing a groundbreaking moment in residential real estate financing. Mattson noted that Beeline's revenue from its lending operations rebounded in 2024, reaching US$3.9 million after a decline the previous year due to rising interest rates. The company has strategically concentrated on Non-QM (non-qualified mortgage) loans, which now constitute 60% of its loan originations with conventional mortgages backed by Freddie and Fannie currently comprising 40% of its mortgage business. For 2025, Beeline anticipates its revenue to rise to US$12.3 million, with expectations to jump to US$30.6 million in 2026, fueled by strong loan origination, the introduction of new software, and its innovative equity product. The company is expected to achieve positive adjusted EBITDA of US$7.1 million by 2026, according to the analyst. Beeline is also investing in AI technology, holding a significant stake in MagicBlocks, a platform that boosts digital sales through sophisticated AI chatbots. This technology has notably improved application conversion rates and is currently under trial in several pilot programs. Moreover, Beeline has established strategic partnerships to enhance its offerings to customers with credit challenges, further strengthening its market position. Operating in the vast yet fragmented U.S. mortgage market, where independent mortgage bankers hold a significant share, Beeline's focus on the underserved Non-QM segment uniquely positions it, particularly among Millennial and Gen Z homebuyers who often face challenges with traditional lending standards. Mattson's valuation of Beeline at a 3.1x revenue multiple for 2026 is consistent with industry averages and reflects the company's innovative approach to the market and its potential for rapid expansion. However, he also points out potential risks, including the company's ongoing need for capital to support its growth and its dependence on warehouse credit facilities. (</w:t>
      </w:r>
      <w:hyperlink r:id="rId20">
        <w:r>
          <w:rPr>
            <w:color w:val="0000EE"/>
            <w:u w:val="single"/>
          </w:rPr>
          <w:t>streetwisereports.com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arkets.financialcontent.com/wral/article/tokenring-2025-11-9-ais-double-edged-sword-revolutionizing-mortgage-backed-securities-while-echoing-2007s-warnings" TargetMode="External"/><Relationship Id="rId10" Type="http://schemas.openxmlformats.org/officeDocument/2006/relationships/hyperlink" Target="https://www.reuters.com/business/pimco-recommends-fed-halt-mortgage-unwind-boost-housing-market-2025-09-16/" TargetMode="External"/><Relationship Id="rId11" Type="http://schemas.openxmlformats.org/officeDocument/2006/relationships/hyperlink" Target="https://arxiv.org/abs/2510.23201" TargetMode="External"/><Relationship Id="rId12" Type="http://schemas.openxmlformats.org/officeDocument/2006/relationships/hyperlink" Target="https://arxiv.org/abs/2510.22987" TargetMode="External"/><Relationship Id="rId13" Type="http://schemas.openxmlformats.org/officeDocument/2006/relationships/hyperlink" Target="https://arxiv.org/abs/2508.02765" TargetMode="External"/><Relationship Id="rId14" Type="http://schemas.openxmlformats.org/officeDocument/2006/relationships/hyperlink" Target="https://www.streetwisereports.com/article/2025/08/05/technology-company-positioned-for-excellent-us-real-estate-gains.html" TargetMode="External"/><Relationship Id="rId15" Type="http://schemas.openxmlformats.org/officeDocument/2006/relationships/hyperlink" Target="https://www.noahwire.com" TargetMode="External"/><Relationship Id="rId16" Type="http://schemas.openxmlformats.org/officeDocument/2006/relationships/hyperlink" Target="https://www.reuters.com/business/pimco-recommends-fed-halt-mortgage-unwind-boost-housing-market-2025-09-16/?utm_source=openai" TargetMode="External"/><Relationship Id="rId17" Type="http://schemas.openxmlformats.org/officeDocument/2006/relationships/hyperlink" Target="https://arxiv.org/abs/2510.23201?utm_source=openai" TargetMode="External"/><Relationship Id="rId18" Type="http://schemas.openxmlformats.org/officeDocument/2006/relationships/hyperlink" Target="https://arxiv.org/abs/2510.22987?utm_source=openai" TargetMode="External"/><Relationship Id="rId19" Type="http://schemas.openxmlformats.org/officeDocument/2006/relationships/hyperlink" Target="https://arxiv.org/abs/2508.02765?utm_source=openai" TargetMode="External"/><Relationship Id="rId20" Type="http://schemas.openxmlformats.org/officeDocument/2006/relationships/hyperlink" Target="https://www.streetwisereports.com/article/2025/08/05/technology-company-positioned-for-excellent-us-real-estate-gains.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