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Insurers scrutinise professional firms’ AI governance amid rising liability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Last month, visits to professional indemnity insurers in London revealed a significant shift in their focus, from cyber risks to the emerging concerns around artificial intelligence (AI). Insurers grapple with understanding the new landscape AI creates, eager to learn how professional services firms, particularly in law, are managing associated risks. The rapidly increasing adoption of AI in business processes presents opportunities for automation and efficiency but also notable liability concerns and operational challenges.</w:t>
      </w:r>
      <w:r/>
    </w:p>
    <w:p>
      <w:r/>
      <w:r>
        <w:t>Since investing early in AI-assisted legal tools like AuthorDocs and developing their own in-house generative AI chatbot, the firm providing insights on AI risks has observed both the promise and pitfalls of the technology. For insurers, AI introduces questions around what happens when a client says "we use AI": what processes are in place, what risks exist, and how might these translate into liability? These issues have become particularly pertinent for professional services, where outputs directly impact client outcomes and regulatory compliance.</w:t>
      </w:r>
      <w:r/>
    </w:p>
    <w:p>
      <w:r/>
      <w:r>
        <w:t>A primary concern for insurers is whether firms use AI-generated work product without adequate human verification. The New Zealand case of Wikeley v Kea Investments Ltd highlights the dangers, there, AI-generated legal submissions included fabricated case citations, misleading the court. Similar cases in England and Wales have led to regulatory scrutiny and sanctions against lawyers who failed to properly check AI-compiled documents. These incidents underscore the ethical and professional breaches possible with unchecked AI use, ranging from regulatory penalties to potential professional liability claims if clients suffer because of erroneous AI-driven advice.</w:t>
      </w:r>
      <w:r/>
    </w:p>
    <w:p>
      <w:r/>
      <w:r>
        <w:t>Confidentiality risk compounds these issues. Generative AI systems rely on extensive data training, often incorporating client information in ways that may not be fully controlled or secured. Users risk exposing sensitive or privileged data to AI providers whose terms may not guarantee confidentiality, creating vulnerabilities for information leaks or unintended sharing. This risk extends beyond law firms to other professional services, with firms seeking solutions such as proprietary AI tools to maintain control over confidential data. However, in-house systems may lack the sophistication of specialist providers, posing a balancing act between confidentiality and capability.</w:t>
      </w:r>
      <w:r/>
    </w:p>
    <w:p>
      <w:r/>
      <w:r>
        <w:t>Insurers now expect insured firms to have formal policies governing AI use. Such frameworks should clarify approved tools, provide staff training on AI limitations such as "hallucinations" (where AI generates inaccurate information), and mandate human review processes for any AI-assisted work product. Surveys indicate most businesses lack comprehensive AI governance; for example, a 2024 Datacom AI Index report found only 13% had audit assurance and governance frameworks while less than half provided workforce policies on AI use. This gap heightens insurer concerns over uncontrolled AI risks.</w:t>
      </w:r>
      <w:r/>
    </w:p>
    <w:p>
      <w:r/>
      <w:r>
        <w:t>Government guidance, such as New Zealand's Public Service AI Framework, offers a model focusing on safe, transparent, and accountable AI adoption with governance, security, skills development, and bias mitigation. Insurers are expected to demand similar rigor as AI use grows more prevalent and complex, scrutinising how firms manage operational oversight, data protection, and compliance with emerging AI regulations.</w:t>
      </w:r>
      <w:r/>
    </w:p>
    <w:p>
      <w:r/>
      <w:r>
        <w:t>Insurers are likely to question the nature and scope of AI use within insured firms. Important factors include whether AI supports routine administrative tasks or critical decision-making with greater liability potential, the provenance and training data of AI systems, governance structures ensuring responsibility and human oversight, security measures protecting confidential data, and awareness of applicable regulations. Firms unable to demonstrate robust AI risk management may face higher premiums, reduced coverage, or policy exclusions specifically addressing AI-related losses.</w:t>
      </w:r>
      <w:r/>
    </w:p>
    <w:p>
      <w:r/>
      <w:r>
        <w:t>Beyond professional indemnity, AI and deepfake technologies introduce wider insurance challenges. For example, deepfakes have been used in sophisticated scams involving financial transfers, as in a Hong Kong case where $25 million was fraudulently diverted. Such risks prompt the need for companies to implement verification controls and secure adequate insurance across commercial, cyber, media liability, directors and officers, and errors and omissions policies. The evolving legal and regulatory environment demands businesses remain vigilant, continuously reviewing coverage to address AI's multifaceted risks.</w:t>
      </w:r>
      <w:r/>
    </w:p>
    <w:p>
      <w:r/>
      <w:r>
        <w:t>In the legal sector, experts emphasise that AI adoption must be coupled with effective internal policies to mitigate potential errors, breaches of confidentiality, failures in informed consent, and intellectual property infringements. Cases of sanction-worthy conduct, like lawyers submitting AI-generated briefs with fabricated sources, reinforce the imperative for rigorous human validation. Law firms and other professional service providers must align AI use with ethical standards and regulatory expectations to shield themselves from liability and reputational damage.</w:t>
      </w:r>
      <w:r/>
    </w:p>
    <w:p>
      <w:r/>
      <w:r>
        <w:t>Ultimately, insurers view AI as a double-edged sword, offering operational efficiency but introducing new liability, regulatory, and security risks. Those firms that proactively develop disciplined governance frameworks, train their workforce, implement stringent oversight, and transparently manage AI risks will be better positioned to respond to insurer inquiries and secure more favourable insurance terms. As AI becomes more embedded in professional practice, the insurance industry will continue to advance its approaches to risk assessment, coverage terms, and premium setting to reflect the complex AI risk environment.</w:t>
      </w:r>
      <w:r/>
    </w:p>
    <w:p>
      <w:pPr>
        <w:pStyle w:val="Heading3"/>
      </w:pPr>
      <w:r>
        <w:t>📌 Reference Map:</w:t>
      </w:r>
      <w:r/>
      <w:r/>
    </w:p>
    <w:p>
      <w:pPr>
        <w:pStyle w:val="ListBullet"/>
        <w:spacing w:line="240" w:lineRule="auto"/>
        <w:ind w:left="720"/>
      </w:pPr>
      <w:r/>
      <w:hyperlink r:id="rId9">
        <w:r>
          <w:rPr>
            <w:color w:val="0000EE"/>
            <w:u w:val="single"/>
          </w:rPr>
          <w:t>[1]</w:t>
        </w:r>
      </w:hyperlink>
      <w:r>
        <w:t xml:space="preserve"> (MinterEllison) - Paragraphs 1, 2, 3, 4, 5, 6, 7, 8, 9, 10, 11, 12 </w:t>
      </w:r>
      <w:r/>
    </w:p>
    <w:p>
      <w:pPr>
        <w:pStyle w:val="ListBullet"/>
        <w:spacing w:line="240" w:lineRule="auto"/>
        <w:ind w:left="720"/>
      </w:pPr>
      <w:r/>
      <w:hyperlink r:id="rId10">
        <w:r>
          <w:rPr>
            <w:color w:val="0000EE"/>
            <w:u w:val="single"/>
          </w:rPr>
          <w:t>[2]</w:t>
        </w:r>
      </w:hyperlink>
      <w:r>
        <w:t xml:space="preserve"> (Reuters) - Paragraph 4 </w:t>
      </w:r>
      <w:r/>
    </w:p>
    <w:p>
      <w:pPr>
        <w:pStyle w:val="ListBullet"/>
        <w:spacing w:line="240" w:lineRule="auto"/>
        <w:ind w:left="720"/>
      </w:pPr>
      <w:r/>
      <w:hyperlink r:id="rId11">
        <w:r>
          <w:rPr>
            <w:color w:val="0000EE"/>
            <w:u w:val="single"/>
          </w:rPr>
          <w:t>[3]</w:t>
        </w:r>
      </w:hyperlink>
      <w:r>
        <w:t xml:space="preserve"> (Reuters) - Paragraph 13 </w:t>
      </w:r>
      <w:r/>
    </w:p>
    <w:p>
      <w:pPr>
        <w:pStyle w:val="ListBullet"/>
        <w:spacing w:line="240" w:lineRule="auto"/>
        <w:ind w:left="720"/>
      </w:pPr>
      <w:r/>
      <w:hyperlink r:id="rId12">
        <w:r>
          <w:rPr>
            <w:color w:val="0000EE"/>
            <w:u w:val="single"/>
          </w:rPr>
          <w:t>[4]</w:t>
        </w:r>
      </w:hyperlink>
      <w:r>
        <w:t xml:space="preserve"> (Reuters) - Paragraph 13 </w:t>
      </w:r>
      <w:r/>
    </w:p>
    <w:p>
      <w:pPr>
        <w:pStyle w:val="ListBullet"/>
        <w:spacing w:line="240" w:lineRule="auto"/>
        <w:ind w:left="720"/>
      </w:pPr>
      <w:r/>
      <w:hyperlink r:id="rId13">
        <w:r>
          <w:rPr>
            <w:color w:val="0000EE"/>
            <w:u w:val="single"/>
          </w:rPr>
          <w:t>[5]</w:t>
        </w:r>
      </w:hyperlink>
      <w:r>
        <w:t xml:space="preserve"> (Lockton) - Paragraph 12 </w:t>
      </w:r>
      <w:r/>
    </w:p>
    <w:p>
      <w:pPr>
        <w:pStyle w:val="ListBullet"/>
        <w:spacing w:line="240" w:lineRule="auto"/>
        <w:ind w:left="720"/>
      </w:pPr>
      <w:r/>
      <w:hyperlink r:id="rId14">
        <w:r>
          <w:rPr>
            <w:color w:val="0000EE"/>
            <w:u w:val="single"/>
          </w:rPr>
          <w:t>[6]</w:t>
        </w:r>
      </w:hyperlink>
      <w:r>
        <w:t xml:space="preserve"> (Legal Dive) - Paragraph 5, 12 </w:t>
      </w:r>
      <w:r/>
    </w:p>
    <w:p>
      <w:pPr>
        <w:pStyle w:val="ListBullet"/>
        <w:spacing w:line="240" w:lineRule="auto"/>
        <w:ind w:left="720"/>
      </w:pPr>
      <w:r/>
      <w:hyperlink r:id="rId15">
        <w:r>
          <w:rPr>
            <w:color w:val="0000EE"/>
            <w:u w:val="single"/>
          </w:rPr>
          <w:t>[7]</w:t>
        </w:r>
      </w:hyperlink>
      <w:r>
        <w:t xml:space="preserve"> (IBM) - Paragraph 9,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https://www.minterellison.co.nz/insights/ai-risks-what-do-insurers-want-to-know-about-your</w:t>
        </w:r>
      </w:hyperlink>
      <w:r>
        <w:t xml:space="preserve"> - Please view link - unable to able to access data</w:t>
      </w:r>
      <w:r/>
    </w:p>
    <w:p>
      <w:pPr>
        <w:pStyle w:val="ListNumber"/>
        <w:spacing w:line="240" w:lineRule="auto"/>
        <w:ind w:left="720"/>
      </w:pPr>
      <w:r/>
      <w:hyperlink r:id="rId10">
        <w:r>
          <w:rPr>
            <w:color w:val="0000EE"/>
            <w:u w:val="single"/>
          </w:rPr>
          <w:t>https://www.reuters.com/legal/legalindustry/innovation-exposure-artificial-intelligence-risks-legal-professionals-2025-07-14/</w:t>
        </w:r>
      </w:hyperlink>
      <w:r>
        <w:t xml:space="preserve"> - This article discusses the integration of artificial intelligence (AI) into legal practice, highlighting new malpractice and insurance coverage risks for legal professionals. It addresses concerns such as output errors, confidentiality breaches, inadequate oversight, and the unauthorized practice of law. The piece also examines the implications of AI-generated work on Lawyers' Professional Liability (LPL) insurance policies, noting that while most policies do not explicitly exclude AI use, coverage may depend on whether the conduct meets the LPL's definition of 'professional service'.</w:t>
      </w:r>
      <w:r/>
    </w:p>
    <w:p>
      <w:pPr>
        <w:pStyle w:val="ListNumber"/>
        <w:spacing w:line="240" w:lineRule="auto"/>
        <w:ind w:left="720"/>
      </w:pPr>
      <w:r/>
      <w:hyperlink r:id="rId11">
        <w:r>
          <w:rPr>
            <w:color w:val="0000EE"/>
            <w:u w:val="single"/>
          </w:rPr>
          <w:t>https://www.reuters.com/legal/legalindustry/real-insurance-coverage-increasing-ai-deepfake-risks-2024-04-11/</w:t>
        </w:r>
      </w:hyperlink>
      <w:r>
        <w:t xml:space="preserve"> - This article explores the rising cyber risks posed by deepfakes, which use AI to create realistic but false representations, leading to scams resulting in significant financial loss. It discusses a notable example involving a Hong Kong company where deepfake technology was used to simulate a video conference, tricking an employee into transferring over $25 million to criminals. The piece advises companies to adopt measures to minimize these risks, such as implementing verification procedures and acquiring comprehensive insurance coverage.</w:t>
      </w:r>
      <w:r/>
    </w:p>
    <w:p>
      <w:pPr>
        <w:pStyle w:val="ListNumber"/>
        <w:spacing w:line="240" w:lineRule="auto"/>
        <w:ind w:left="720"/>
      </w:pPr>
      <w:r/>
      <w:hyperlink r:id="rId12">
        <w:r>
          <w:rPr>
            <w:color w:val="0000EE"/>
            <w:u w:val="single"/>
          </w:rPr>
          <w:t>https://www.reuters.com/legal/legalindustry/insurance-coverage-issues-artificial-intelligence-deepfakes-2024-10-14/</w:t>
        </w:r>
      </w:hyperlink>
      <w:r>
        <w:t xml:space="preserve"> - This article examines the insurance coverage issues arising from the use of artificial intelligence (AI) and deepfakes, which can facilitate fraud, harm reputations, or cause legal problems related to false advertising and privacy violations. It discusses various insurance policies that may provide protection against these risks, including commercial general liability (CGL), cyber and media liability, directors and officers liability, and errors and omissions/professional liability coverages. The piece emphasizes the need for businesses to stay vigilant and frequently review their insurance coverage to mitigate potential risks.</w:t>
      </w:r>
      <w:r/>
    </w:p>
    <w:p>
      <w:pPr>
        <w:pStyle w:val="ListNumber"/>
        <w:spacing w:line="240" w:lineRule="auto"/>
        <w:ind w:left="720"/>
      </w:pPr>
      <w:r/>
      <w:hyperlink r:id="rId13">
        <w:r>
          <w:rPr>
            <w:color w:val="0000EE"/>
            <w:u w:val="single"/>
          </w:rPr>
          <w:t>https://global.lockton.com/gb/en/resources/law-firm-ai-insurance-considerations</w:t>
        </w:r>
      </w:hyperlink>
      <w:r>
        <w:t xml:space="preserve"> - This resource outlines the risks and liabilities associated with the use of artificial intelligence (AI) in the legal sector. It highlights potential issues such as errors and inaccuracies, breach of confidentiality, failure to obtain informed consent, and breach of intellectual property rights. The piece also discusses the challenges posed by the diverging legal and regulatory landscape for AI, emphasizing the need for law firms to have appropriate internal policies and frameworks in place to govern the use of AI tools and monitor their outputs.</w:t>
      </w:r>
      <w:r/>
    </w:p>
    <w:p>
      <w:pPr>
        <w:pStyle w:val="ListNumber"/>
        <w:spacing w:line="240" w:lineRule="auto"/>
        <w:ind w:left="720"/>
      </w:pPr>
      <w:r/>
      <w:hyperlink r:id="rId14">
        <w:r>
          <w:rPr>
            <w:color w:val="0000EE"/>
            <w:u w:val="single"/>
          </w:rPr>
          <w:t>https://www.legaldive.com/news/shielding-your-organization-from-ai-related-liability/739511/</w:t>
        </w:r>
      </w:hyperlink>
      <w:r>
        <w:t xml:space="preserve"> - This article addresses the concerns of in-house counsel regarding the adoption of artificial intelligence (AI), given their fiduciary, regulatory, and ethical obligations to safeguard client information. It discusses the risks associated with AI use, including potential breaches of confidentiality and ethical violations, and emphasizes the need for robust oversight when leveraging AI in legal workflows. The piece also highlights a case where lawyers were sanctioned for submitting a legal brief containing fabricated citations generated by ChatGPT, underscoring the importance of verifying AI-generated content.</w:t>
      </w:r>
      <w:r/>
    </w:p>
    <w:p>
      <w:pPr>
        <w:pStyle w:val="ListNumber"/>
        <w:spacing w:line="240" w:lineRule="auto"/>
        <w:ind w:left="720"/>
      </w:pPr>
      <w:r/>
      <w:hyperlink r:id="rId15">
        <w:r>
          <w:rPr>
            <w:color w:val="0000EE"/>
            <w:u w:val="single"/>
          </w:rPr>
          <w:t>https://www.ibm.com/think/insights/ai-insurance-risks</w:t>
        </w:r>
      </w:hyperlink>
      <w:r>
        <w:t xml:space="preserve"> - This article discusses the risks associated with the adoption of artificial intelligence (AI) in the insurance industry, categorizing them into technological and usage risks. It highlights data confidentiality as a chief technological risk, noting that AI development has enabled the collection, storage, and processing of information on an unprecedented scale, leading to concerns about privacy leakage. The piece also addresses usage risks such as abuse and over-reliance on AI, emphasizing the need for a governance approach to mitigate these risks.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terellison.co.nz/insights/ai-risks-what-do-insurers-want-to-know-about-your" TargetMode="External"/><Relationship Id="rId10" Type="http://schemas.openxmlformats.org/officeDocument/2006/relationships/hyperlink" Target="https://www.reuters.com/legal/legalindustry/innovation-exposure-artificial-intelligence-risks-legal-professionals-2025-07-14/" TargetMode="External"/><Relationship Id="rId11" Type="http://schemas.openxmlformats.org/officeDocument/2006/relationships/hyperlink" Target="https://www.reuters.com/legal/legalindustry/real-insurance-coverage-increasing-ai-deepfake-risks-2024-04-11/" TargetMode="External"/><Relationship Id="rId12" Type="http://schemas.openxmlformats.org/officeDocument/2006/relationships/hyperlink" Target="https://www.reuters.com/legal/legalindustry/insurance-coverage-issues-artificial-intelligence-deepfakes-2024-10-14/" TargetMode="External"/><Relationship Id="rId13" Type="http://schemas.openxmlformats.org/officeDocument/2006/relationships/hyperlink" Target="https://global.lockton.com/gb/en/resources/law-firm-ai-insurance-considerations" TargetMode="External"/><Relationship Id="rId14" Type="http://schemas.openxmlformats.org/officeDocument/2006/relationships/hyperlink" Target="https://www.legaldive.com/news/shielding-your-organization-from-ai-related-liability/739511/" TargetMode="External"/><Relationship Id="rId15" Type="http://schemas.openxmlformats.org/officeDocument/2006/relationships/hyperlink" Target="https://www.ibm.com/think/insights/ai-insurance-risk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