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governance and infrastructure hurdles challenge enterprise adoption amid regulatory and ethical concerns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Enterprise IT leaders across regulated sectors such as finance, healthcare, public administration, and critical infrastructure are facing a critical juncture in transforming artificial intelligence (AI) ambitions into concrete productivity benefits. A Lenovo and Intel-sponsored roundtable involving CIOs and CTOs uncovered a pervasive gap between the lofty promises of AI technologies and the complexities organisations encounter in realising those benefits. Approximately one-third of participating senior IT executives expressed scepticism about the tangible value of AI to date, underscoring concerns over trust, control, and governance that continue to cloud the path forward.</w:t>
      </w:r>
      <w:r/>
    </w:p>
    <w:p>
      <w:r/>
      <w:r>
        <w:t>One IT leader from the diagnostics industry captured a widespread sentiment by highlighting unresolved issues around intellectual property and data governance. The unregulated nature of AI use raises fears of losing proprietary information, with questions on “how do you police AI?” pointing to insufficient frameworks around accountability and transparency. Public sector representatives reinforced this caution, balancing optimism about AI reducing operational costs against real-world hesitations about ethical, legal, and governance challenges, particularly when AI-driven interventions impact vulnerable populations. For instance, deploying predictive models to identify residents at risk of homelessness from local data introduces complex social and fiscal dilemmas around trust and justification of resource allocation.</w:t>
      </w:r>
      <w:r/>
    </w:p>
    <w:p>
      <w:r/>
      <w:r>
        <w:t>Some organisations have moved beyond pilots to implement AI at scale while carefully maintaining governance. A bank detailed its approach of using internally developed foundational AI models hosted in private cloud environments under strict human oversight and without external interaction. This setup illustrates an emerging industry model where operational intricacies such as token management, execution costs, and continuous training require robust management to harness AI effectively. Moreover, the institution emphasises a socially responsible adoption, aiming to use AI to augment workforce capabilities rather than replace people wholesale.</w:t>
      </w:r>
      <w:r/>
    </w:p>
    <w:p>
      <w:r/>
      <w:r>
        <w:t>Cost considerations loom large in AI adoption discussions. Some firms have recorded notable productivity improvements, one bank cited a 40% efficiency uplift in code development aided by AI tools. Nonetheless, quantifying AI’s return on investment remains challenging, as benefits often manifest in intangible ways such as improved meeting preparedness or communication efficiency. Several leaders noted that blanket deployment of AI tools like Copilot without judicious planning can cause costs to escalate disproportionately, making strategic deployment and user enablement vital.</w:t>
      </w:r>
      <w:r/>
    </w:p>
    <w:p>
      <w:r/>
      <w:r>
        <w:t>The discussion highlighted a critical human dimension: fostering a culture of continuous, bidirectional learning where both seasoned professionals and younger, digitally native generations contribute. Organisations grapple with supporting employees through evolving AI paradigms, avoiding mandates, and instead encouraging skill development through positive incentives. Notably, newer entrants to the workforce typically show greater ease in AI adoption, perceiving what older generations view as “guard rails” as potential barriers. Yet, inconsistencies remain in recruitment and assessment approaches, some employers discourage AI use during candidate interviews yet deploy AI tools intensively once hiring decisions are made, pointing to the need for clearer organisational alignment on AI proficiency standards.</w:t>
      </w:r>
      <w:r/>
    </w:p>
    <w:p>
      <w:r/>
      <w:r>
        <w:t>Infrastructure sovereignty also emerged as a nuanced theme. Delegates emphasised that sovereignty extends beyond control of data to include the ability to manage and replace core technologies. While some deploy hybrid and private cloud solutions to balance control with flexibility, the underlying technology often depends on providers outside sovereign jurisdictions, posing strategic risks and complicating data governance.</w:t>
      </w:r>
      <w:r/>
    </w:p>
    <w:p>
      <w:r/>
      <w:r>
        <w:t>These operational, ethical, and governance challenges mirror broader sectoral experiences. In healthcare, for example, a study published in The Lancet eClinicalMedicine highlighted ongoing delays and scepticism in NHS AI rollout efforts, due primarily to outdated IT systems, contracting slowdowns, and deficits in clinical staff training. This reflects the multifaceted difficulties of embedding AI within complex, regulated environments.</w:t>
      </w:r>
      <w:r/>
    </w:p>
    <w:p>
      <w:r/>
      <w:r>
        <w:t>Regulatory landscapes add further complexity. The European Union’s AI Act, effective from August 2025, imposes rigorous compliance demands on AI developers, including risk mitigation, incident reporting, adversarial testing, and transparency on energy consumption. While designed to set a leading global standard for safe AI deployment, the legislation has drawn criticism from major tech companies warning of potential innovation stifling and legal ambiguities.</w:t>
      </w:r>
      <w:r/>
    </w:p>
    <w:p>
      <w:r/>
      <w:r>
        <w:t>Moreover, the environmental footprint of AI operations is increasingly scrutinised. With services like ChatGPT consuming as much energy daily as approximately 100,000 homes, organisations must consider sustainable infrastructure as AI adoption scales.</w:t>
      </w:r>
      <w:r/>
    </w:p>
    <w:p>
      <w:r/>
      <w:r>
        <w:t>Finally, disparate data sovereignty laws worldwide complicate compliance, especially for smaller enterprises burdened by high regulatory costs. Experts advocate for adaptable, principle-based regulations, as exemplified by Singapore’s approach, that evolve with technology and engage industry actively to balance innovation with trust.</w:t>
      </w:r>
      <w:r/>
    </w:p>
    <w:p>
      <w:r/>
      <w:r>
        <w:t>In summary, while AI holds significant promise for transforming enterprise IT productivity and workforce dynamics, realising its potential demands robust governance frameworks, strategic investment in infrastructure and skills, and navigational agility within complex regulatory and ethical environments. Organisations embarking on this journey must cultivate cultures of shared learning, carefully balance technological sovereignty, and align AI adoption with social responsibility to translate ambition into lasting value.</w:t>
      </w:r>
      <w:r/>
    </w:p>
    <w:p>
      <w:pPr>
        <w:pStyle w:val="Heading3"/>
      </w:pPr>
      <w:r>
        <w:t>📌 Reference Map:</w:t>
      </w:r>
      <w:r/>
      <w:r/>
    </w:p>
    <w:p>
      <w:pPr>
        <w:pStyle w:val="ListBullet"/>
        <w:spacing w:line="240" w:lineRule="auto"/>
        <w:ind w:left="720"/>
      </w:pPr>
      <w:r/>
      <w:hyperlink r:id="rId9">
        <w:r>
          <w:rPr>
            <w:color w:val="0000EE"/>
            <w:u w:val="single"/>
          </w:rPr>
          <w:t>[1]</w:t>
        </w:r>
      </w:hyperlink>
      <w:r>
        <w:t xml:space="preserve"> Computing.co.uk (Lenovo and Intel Roundtable) - Paragraphs 1-7, 9-11 </w:t>
      </w:r>
      <w:r/>
    </w:p>
    <w:p>
      <w:pPr>
        <w:pStyle w:val="ListBullet"/>
        <w:spacing w:line="240" w:lineRule="auto"/>
        <w:ind w:left="720"/>
      </w:pPr>
      <w:r/>
      <w:hyperlink r:id="rId9">
        <w:r>
          <w:rPr>
            <w:color w:val="0000EE"/>
            <w:u w:val="single"/>
          </w:rPr>
          <w:t>[2]</w:t>
        </w:r>
      </w:hyperlink>
      <w:r>
        <w:t xml:space="preserve"> Computing.co.uk (Lenovo and Intel Roundtable summary) - Paragraphs 1-2 </w:t>
      </w:r>
      <w:r/>
    </w:p>
    <w:p>
      <w:pPr>
        <w:pStyle w:val="ListBullet"/>
        <w:spacing w:line="240" w:lineRule="auto"/>
        <w:ind w:left="720"/>
      </w:pPr>
      <w:r/>
      <w:hyperlink r:id="rId10">
        <w:r>
          <w:rPr>
            <w:color w:val="0000EE"/>
            <w:u w:val="single"/>
          </w:rPr>
          <w:t>[3]</w:t>
        </w:r>
      </w:hyperlink>
      <w:r>
        <w:t xml:space="preserve"> Computing.co.uk (NHS AI rollout challenges) - Paragraph 8 </w:t>
      </w:r>
      <w:r/>
    </w:p>
    <w:p>
      <w:pPr>
        <w:pStyle w:val="ListBullet"/>
        <w:spacing w:line="240" w:lineRule="auto"/>
        <w:ind w:left="720"/>
      </w:pPr>
      <w:r/>
      <w:hyperlink r:id="rId11">
        <w:r>
          <w:rPr>
            <w:color w:val="0000EE"/>
            <w:u w:val="single"/>
          </w:rPr>
          <w:t>[4]</w:t>
        </w:r>
      </w:hyperlink>
      <w:r>
        <w:t xml:space="preserve"> Computing.co.uk (EU AI Act) - Paragraph 9 </w:t>
      </w:r>
      <w:r/>
    </w:p>
    <w:p>
      <w:pPr>
        <w:pStyle w:val="ListBullet"/>
        <w:spacing w:line="240" w:lineRule="auto"/>
        <w:ind w:left="720"/>
      </w:pPr>
      <w:r/>
      <w:hyperlink r:id="rId12">
        <w:r>
          <w:rPr>
            <w:color w:val="0000EE"/>
            <w:u w:val="single"/>
          </w:rPr>
          <w:t>[6]</w:t>
        </w:r>
      </w:hyperlink>
      <w:r>
        <w:t xml:space="preserve"> Computing.co.uk (AI energy consumption) - Paragraph 10 </w:t>
      </w:r>
      <w:r/>
    </w:p>
    <w:p>
      <w:pPr>
        <w:pStyle w:val="ListBullet"/>
        <w:spacing w:line="240" w:lineRule="auto"/>
        <w:ind w:left="720"/>
      </w:pPr>
      <w:r/>
      <w:hyperlink r:id="rId13">
        <w:r>
          <w:rPr>
            <w:color w:val="0000EE"/>
            <w:u w:val="single"/>
          </w:rPr>
          <w:t>[7]</w:t>
        </w:r>
      </w:hyperlink>
      <w:r>
        <w:t xml:space="preserve"> Computing.co.uk (Data sovereignty and regulation) - Paragraph 11</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https://www.computing.co.uk/event/2025/cio-challenges-ai-ambition-into-value</w:t>
        </w:r>
      </w:hyperlink>
      <w:r>
        <w:t xml:space="preserve"> - Please view link - unable to able to access data</w:t>
      </w:r>
      <w:r/>
    </w:p>
    <w:p>
      <w:pPr>
        <w:pStyle w:val="ListNumber"/>
        <w:spacing w:line="240" w:lineRule="auto"/>
        <w:ind w:left="720"/>
      </w:pPr>
      <w:r/>
      <w:hyperlink r:id="rId9">
        <w:r>
          <w:rPr>
            <w:color w:val="0000EE"/>
            <w:u w:val="single"/>
          </w:rPr>
          <w:t>https://www.computing.co.uk/event/2025/cio-challenges-ai-ambition-into-value</w:t>
        </w:r>
      </w:hyperlink>
      <w:r>
        <w:t xml:space="preserve"> - A recent roundtable sponsored by Lenovo and Intel revealed that enterprise IT leaders face significant challenges in translating AI ambitions into tangible productivity gains. Approximately one-third of CIOs and CTOs from various highly regulated industries, including finance, public sector, critical national infrastructure, and medical technology, expressed concerns about the gap between AI's potential and its actual impact within their organisations. Issues such as trust, control, governance, and data sovereignty were highlighted as major obstacles hindering AI adoption and effective implementation.</w:t>
      </w:r>
      <w:r/>
    </w:p>
    <w:p>
      <w:pPr>
        <w:pStyle w:val="ListNumber"/>
        <w:spacing w:line="240" w:lineRule="auto"/>
        <w:ind w:left="720"/>
      </w:pPr>
      <w:r/>
      <w:hyperlink r:id="rId10">
        <w:r>
          <w:rPr>
            <w:color w:val="0000EE"/>
            <w:u w:val="single"/>
          </w:rPr>
          <w:t>https://www.computing.co.uk/news/2025/ai/ai-rollout-nhs-hospitals-stalled-major-implementation-challenges</w:t>
        </w:r>
      </w:hyperlink>
      <w:r>
        <w:t xml:space="preserve"> - A study published in The Lancet eClinicalMedicine highlighted significant hurdles in the UK's initiative to integrate AI into NHS hospitals. Researchers identified delays in contracting, outdated IT systems, scepticism among clinical staff, and insufficient training as key factors impeding the nationwide rollout of AI diagnostic tools. These challenges underscore the complexities involved in embedding AI technologies into existing healthcare infrastructures and the need for comprehensive planning and support to ensure successful implementation.</w:t>
      </w:r>
      <w:r/>
    </w:p>
    <w:p>
      <w:pPr>
        <w:pStyle w:val="ListNumber"/>
        <w:spacing w:line="240" w:lineRule="auto"/>
        <w:ind w:left="720"/>
      </w:pPr>
      <w:r/>
      <w:hyperlink r:id="rId11">
        <w:r>
          <w:rPr>
            <w:color w:val="0000EE"/>
            <w:u w:val="single"/>
          </w:rPr>
          <w:t>https://www.computing.co.uk/news/2025/ai/eu-rules-for-ai-developers-take-effect</w:t>
        </w:r>
      </w:hyperlink>
      <w:r>
        <w:t xml:space="preserve"> - The European Union's AI Act, which came into effect on 2nd August 2025, imposes new regulations on developers of general-purpose AI systems. These rules require developers to evaluate models, mitigate systemic risks, report major incidents, conduct adversarial testing, maintain cybersecurity, and disclose the energy efficiency of their systems. While intended to set a global benchmark for safe and ethical AI deployment, the legislation has faced criticism from major tech firms, including Meta, which argue that it may stifle innovation and introduce legal uncertainties.</w:t>
      </w:r>
      <w:r/>
    </w:p>
    <w:p>
      <w:pPr>
        <w:pStyle w:val="ListNumber"/>
        <w:spacing w:line="240" w:lineRule="auto"/>
        <w:ind w:left="720"/>
      </w:pPr>
      <w:r/>
      <w:hyperlink r:id="rId15">
        <w:r>
          <w:rPr>
            <w:color w:val="0000EE"/>
            <w:u w:val="single"/>
          </w:rPr>
          <w:t>https://www.computing.co.uk/opinion/2025/dissatisfaction-with-oracle-java-remains-strong</w:t>
        </w:r>
      </w:hyperlink>
      <w:r>
        <w:t xml:space="preserve"> - Azul's 2025 State of Java Survey &amp; Report reveals ongoing dissatisfaction with Oracle's Java cost structure. Despite Java's widespread use in enterprise applications, 82% of respondents express unease over Oracle's pricing. The survey indicates a growing trend of organisations considering alternatives to Oracle Java, citing high costs and a preference for open-source solutions as primary motivators. This shift reflects a broader industry movement towards more cost-effective and flexible Java support options.</w:t>
      </w:r>
      <w:r/>
    </w:p>
    <w:p>
      <w:pPr>
        <w:pStyle w:val="ListNumber"/>
        <w:spacing w:line="240" w:lineRule="auto"/>
        <w:ind w:left="720"/>
      </w:pPr>
      <w:r/>
      <w:hyperlink r:id="rId12">
        <w:r>
          <w:rPr>
            <w:color w:val="0000EE"/>
            <w:u w:val="single"/>
          </w:rPr>
          <w:t>https://www.computing.co.uk/opinion/2025/tackling-ai-s-challenges-strong-architectural-foundations</w:t>
        </w:r>
      </w:hyperlink>
      <w:r>
        <w:t xml:space="preserve"> - The article discusses the escalating energy demands of AI technologies, highlighting that each ChatGPT query consumes approximately 0.0029 kilowatt-hours (kWh) of electricity. With ChatGPT processing around 1 billion queries daily, this equates to an estimated daily energy usage of about 2.9 million kWh, comparable to the daily consumption of 100,000 homes. The piece underscores the significant energy footprint of AI operations and the need for sustainable infrastructure to support the growing adoption of AI technologies.</w:t>
      </w:r>
      <w:r/>
    </w:p>
    <w:p>
      <w:pPr>
        <w:pStyle w:val="ListNumber"/>
        <w:spacing w:line="240" w:lineRule="auto"/>
        <w:ind w:left="720"/>
      </w:pPr>
      <w:r/>
      <w:hyperlink r:id="rId13">
        <w:r>
          <w:rPr>
            <w:color w:val="0000EE"/>
            <w:u w:val="single"/>
          </w:rPr>
          <w:t>https://www.computing.co.uk/opinion/2025/caught-in-regulatory-crossfire-how-diverging-data-laws-are-threatening-trade</w:t>
        </w:r>
      </w:hyperlink>
      <w:r>
        <w:t xml:space="preserve"> - The article examines how diverging data laws across regions are creating compliance challenges for businesses, particularly smaller firms that face steep barriers due to high compliance costs. It contrasts the EU's regulatory approach with Singapore's principle-based regulation, which evolves with technology and actively engages with industry to foster trust and innovation. The piece highlights the need for balanced and adaptable regulatory frameworks to support global trade and technological advancement.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mputing.co.uk/event/2025/cio-challenges-ai-ambition-into-value" TargetMode="External"/><Relationship Id="rId10" Type="http://schemas.openxmlformats.org/officeDocument/2006/relationships/hyperlink" Target="https://www.computing.co.uk/news/2025/ai/ai-rollout-nhs-hospitals-stalled-major-implementation-challenges" TargetMode="External"/><Relationship Id="rId11" Type="http://schemas.openxmlformats.org/officeDocument/2006/relationships/hyperlink" Target="https://www.computing.co.uk/news/2025/ai/eu-rules-for-ai-developers-take-effect" TargetMode="External"/><Relationship Id="rId12" Type="http://schemas.openxmlformats.org/officeDocument/2006/relationships/hyperlink" Target="https://www.computing.co.uk/opinion/2025/tackling-ai-s-challenges-strong-architectural-foundations" TargetMode="External"/><Relationship Id="rId13" Type="http://schemas.openxmlformats.org/officeDocument/2006/relationships/hyperlink" Target="https://www.computing.co.uk/opinion/2025/caught-in-regulatory-crossfire-how-diverging-data-laws-are-threatening-trade" TargetMode="External"/><Relationship Id="rId14" Type="http://schemas.openxmlformats.org/officeDocument/2006/relationships/hyperlink" Target="https://www.noahwire.com" TargetMode="External"/><Relationship Id="rId15" Type="http://schemas.openxmlformats.org/officeDocument/2006/relationships/hyperlink" Target="https://www.computing.co.uk/opinion/2025/dissatisfaction-with-oracle-java-remains-stro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