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Web3 sectors defy market downturn with resilient growth and metaverse breakthrough forecast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digital currency market experienced a sharp downturn in October, key sectors within the Web3 ecosystem, notably Web3 gaming and decentralized finance (DeFi), demonstrated resilience and even growth. According to DappRadar’s report, Web3 gaming expanded its market share to 27.9% of all unique active wallets in the decentralized application (DApp) environment, with over 4.5 million daily active wallets recorded, a 1% increase from September. This growth was attributed to ongoing innovation within blockchain gaming, offering fresh experiences that kept users engaged despite broader market challenges. The surge in non-fungible tokens (NFTs), which reached a trading volume of $546 million in October, further underscored the sector's dynamism, driven by evolving use cases that extend beyond gaming.</w:t>
      </w:r>
      <w:r/>
    </w:p>
    <w:p>
      <w:r/>
      <w:r>
        <w:t>DeFi, representing 18.4% of the DApp ecosystem, maintained solid engagement levels despite facing significant headwinds. The sector endured nearly a dozen hacks and exploits throughout October, alongside heightened regulatory scrutiny across global jurisdictions. These difficulties contributed to a decline in the total value locked (TVL) within DeFi projects, which dropped from $235 billion in September to $221 billion in October and declined further to $193 billion in early November, reflecting market volatility and regulatory uncertainty. A notable catalyst was the October 10 market crash, marked as the largest in digital currency history, which wiped out over $20 billion in leveraged positions. Still, early November data indicated signs of a user activity rebound, signalling potential sector recovery.</w:t>
      </w:r>
      <w:r/>
    </w:p>
    <w:p>
      <w:r/>
      <w:r>
        <w:t>Beyond gaming and DeFi, other segments such as artificial intelligence (AI)-driven DApps and social protocols accounted for 14.2% and 4.8% of activity, respectively. The emergence of AI apps, which have attracted nearly half of global venture capital investments in Q3 2025, highlights a broader technology trend intertwining with the blockchain space. Governments and enterprises are increasingly investing in AI to explore novel applications, ranging from improving mining operations in Bitcoin ecosystems to enabling green transformations in regions such as Vietnam and the Asia Pacific.</w:t>
      </w:r>
      <w:r/>
    </w:p>
    <w:p>
      <w:r/>
      <w:r>
        <w:t>Parallel to these blockchain innovations, the metaverse market is poised for explosive growth. Industry research from Allied Market Research forecasts the global metaverse market to expand from $41.9 billion in 2020 to an astounding $1.2 trillion by 2030, reflecting a compound annual growth rate of approximately 40.4%. This growth is primarily fuelled by advances in virtual reality (VR), augmented reality (AR), blockchain technology, and AI. Notably, the gaming segment is set to remain the predominant driver of metaverse adoption, though content creation and social media are expected to experience the fastest growth rates over the next five years.</w:t>
      </w:r>
      <w:r/>
    </w:p>
    <w:p>
      <w:r/>
      <w:r>
        <w:t>The integration of blockchain technologies within the metaverse, specifically through NFTs, plays a critical role in enabling secure digital ownership and transactions, thereby unlocking new monetisation opportunities. The forecast identifies North America and Europe as key market holders due to their technology infrastructure and early adopter communities, while the Asia Pacific region is expected to exhibit the most rapid growth, supported by high smartphone penetration and a robust gaming culture.</w:t>
      </w:r>
      <w:r/>
    </w:p>
    <w:p>
      <w:r/>
      <w:r>
        <w:t>Major corporations, including Alibaba, ByteDance, Meta, and Huawei, are anticipated to lead and shape the metaverse landscape by 2030, although the presence of disruptive newcomers remains a possibility. Enterprises are increasingly exploring metaverse applications beyond entertainment, extending into fitness, education, manufacturing, and virtual training, aiming to enhance productivity and user engagement. However, challenges relating to data privacy, health concerns, platform interoperability, and cost may temper some aspects of the metaverse's expansion.</w:t>
      </w:r>
      <w:r/>
    </w:p>
    <w:p>
      <w:r/>
      <w:r>
        <w:t>In summary, while the broader digital asset market faced significant downturns in late 2025, sectors within Web3 such as blockchain gaming and DeFi have shown resilience and innovation-led growth. Simultaneously, the convergence of blockchain with AI and immersive technologies is setting the stage for a remarkable expansion of the metaverse, signalling transformative shifts in digital interaction, commerce, and entertainment over the coming decade.</w:t>
      </w:r>
      <w:r/>
    </w:p>
    <w:p>
      <w:pPr>
        <w:pStyle w:val="Heading3"/>
      </w:pPr>
      <w:r>
        <w:t>📌 Reference Map:</w:t>
      </w:r>
      <w:r/>
      <w:r/>
    </w:p>
    <w:p>
      <w:pPr>
        <w:pStyle w:val="ListBullet"/>
        <w:spacing w:line="240" w:lineRule="auto"/>
        <w:ind w:left="720"/>
      </w:pPr>
      <w:r/>
      <w:hyperlink r:id="rId9">
        <w:r>
          <w:rPr>
            <w:color w:val="0000EE"/>
            <w:u w:val="single"/>
          </w:rPr>
          <w:t>[1]</w:t>
        </w:r>
      </w:hyperlink>
      <w:r>
        <w:t xml:space="preserve"> (Coingeek) - Paragraphs 1, 2, 3, 4, 5, 6, 7</w:t>
      </w:r>
      <w:r/>
    </w:p>
    <w:p>
      <w:pPr>
        <w:pStyle w:val="ListBullet"/>
        <w:spacing w:line="240" w:lineRule="auto"/>
        <w:ind w:left="720"/>
      </w:pPr>
      <w:r/>
      <w:hyperlink r:id="rId10">
        <w:r>
          <w:rPr>
            <w:color w:val="0000EE"/>
            <w:u w:val="single"/>
          </w:rPr>
          <w:t>[2]</w:t>
        </w:r>
      </w:hyperlink>
      <w:r>
        <w:t xml:space="preserve"> (Cointelegraph) - Paragraphs 1, 2, 3</w:t>
      </w:r>
      <w:r/>
    </w:p>
    <w:p>
      <w:pPr>
        <w:pStyle w:val="ListBullet"/>
        <w:spacing w:line="240" w:lineRule="auto"/>
        <w:ind w:left="720"/>
      </w:pPr>
      <w:r/>
      <w:hyperlink r:id="rId11">
        <w:r>
          <w:rPr>
            <w:color w:val="0000EE"/>
            <w:u w:val="single"/>
          </w:rPr>
          <w:t>[3]</w:t>
        </w:r>
      </w:hyperlink>
      <w:r>
        <w:t xml:space="preserve"> (Allied Market Research) - Paragraphs 5, 6</w:t>
      </w:r>
      <w:r/>
    </w:p>
    <w:p>
      <w:pPr>
        <w:pStyle w:val="ListBullet"/>
        <w:spacing w:line="240" w:lineRule="auto"/>
        <w:ind w:left="720"/>
      </w:pPr>
      <w:r/>
      <w:hyperlink r:id="rId12">
        <w:r>
          <w:rPr>
            <w:color w:val="0000EE"/>
            <w:u w:val="single"/>
          </w:rPr>
          <w:t>[4]</w:t>
        </w:r>
      </w:hyperlink>
      <w:r>
        <w:t xml:space="preserve"> (Allied Market Research) - Paragraph 6</w:t>
      </w:r>
      <w:r/>
    </w:p>
    <w:p>
      <w:pPr>
        <w:pStyle w:val="ListBullet"/>
        <w:spacing w:line="240" w:lineRule="auto"/>
        <w:ind w:left="720"/>
      </w:pPr>
      <w:r/>
      <w:hyperlink r:id="rId13">
        <w:r>
          <w:rPr>
            <w:color w:val="0000EE"/>
            <w:u w:val="single"/>
          </w:rPr>
          <w:t>[5]</w:t>
        </w:r>
      </w:hyperlink>
      <w:r>
        <w:t xml:space="preserve"> (GlobeNewswire) - Paragraph 6</w:t>
      </w:r>
      <w:r/>
    </w:p>
    <w:p>
      <w:pPr>
        <w:pStyle w:val="ListBullet"/>
        <w:spacing w:line="240" w:lineRule="auto"/>
        <w:ind w:left="720"/>
      </w:pPr>
      <w:r/>
      <w:hyperlink r:id="rId14">
        <w:r>
          <w:rPr>
            <w:color w:val="0000EE"/>
            <w:u w:val="single"/>
          </w:rPr>
          <w:t>[6]</w:t>
        </w:r>
      </w:hyperlink>
      <w:r>
        <w:t xml:space="preserve"> (TechFocusAsia)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https://coingeek.com/web3-gaming-defi-maintain-lead-amid-digital-asset-decline/</w:t>
        </w:r>
      </w:hyperlink>
      <w:r>
        <w:t xml:space="preserve"> - Please view link - unable to able to access data</w:t>
      </w:r>
      <w:r/>
    </w:p>
    <w:p>
      <w:pPr>
        <w:pStyle w:val="ListNumber"/>
        <w:spacing w:line="240" w:lineRule="auto"/>
        <w:ind w:left="720"/>
      </w:pPr>
      <w:r/>
      <w:hyperlink r:id="rId10">
        <w:r>
          <w:rPr>
            <w:color w:val="0000EE"/>
            <w:u w:val="single"/>
          </w:rPr>
          <w:t>https://cointelegraph.com/news/web3-gaming-defi-activity-october</w:t>
        </w:r>
      </w:hyperlink>
      <w:r>
        <w:t xml:space="preserve"> - Despite a 3% decline in total daily active wallets to 16 million, blockchain gaming and decentralized finance (DeFi) remained the most active sectors in Web3 in October. Web3 gaming accounted for 27.9% of all decentralized application (DApp) activity, its highest share of the year, while DeFi maintained solid engagement at 18.4%, despite market volatility and ongoing regulatory pressure. The total value locked (TVL) in DeFi fell 6.3% in October to $221 billion and dropped another 12% in early November to $193 billion, due to broader market decline and regulatory uncertainty. Meanwhile, trading of non-fungible tokens (NFTs) rose by 30% in October to $546 million, reaching 10.1 million transactions—the highest monthly count of 2025.</w:t>
      </w:r>
      <w:r/>
    </w:p>
    <w:p>
      <w:pPr>
        <w:pStyle w:val="ListNumber"/>
        <w:spacing w:line="240" w:lineRule="auto"/>
        <w:ind w:left="720"/>
      </w:pPr>
      <w:r/>
      <w:hyperlink r:id="rId11">
        <w:r>
          <w:rPr>
            <w:color w:val="0000EE"/>
            <w:u w:val="single"/>
          </w:rPr>
          <w:t>https://www.alliedmarketresearch.com/press-release/metaverse-market.html</w:t>
        </w:r>
      </w:hyperlink>
      <w:r>
        <w:t xml:space="preserve"> - According to a report by Allied Market Research, the global metaverse market was valued at $41.9 billion in 2020 and is projected to reach $1,237.0 billion by 2030, growing at a compound annual growth rate (CAGR) of 40.4% from 2021 to 2030. The report highlights that the gaming segment dominated the metaverse market share in 2020 and is expected to continue this trend during the forecast period. Additionally, the content creation and social media segments are anticipated to witness the highest growth over the next five years. Regionally, North America held the largest market share in 2020 and is expected to retain its position during the forecast period, while the Asia-Pacific region is projected to experience significant growth due to rapid digital transformation trends.</w:t>
      </w:r>
      <w:r/>
    </w:p>
    <w:p>
      <w:pPr>
        <w:pStyle w:val="ListNumber"/>
        <w:spacing w:line="240" w:lineRule="auto"/>
        <w:ind w:left="720"/>
      </w:pPr>
      <w:r/>
      <w:hyperlink r:id="rId12">
        <w:r>
          <w:rPr>
            <w:color w:val="0000EE"/>
            <w:u w:val="single"/>
          </w:rPr>
          <w:t>https://www.alliedmarketresearch.com/metaverse-market-A16423</w:t>
        </w:r>
      </w:hyperlink>
      <w:r>
        <w:t xml:space="preserve"> - Allied Market Research's report on the metaverse market provides a comprehensive analysis of the market size, estimations, changing market trends, top investment pockets, drivers, opportunities, top winning strategies, and competitive landscapes. The report evaluates the global metaverse market based on component, technology, application, industry vertical, and region. It notes that the hardware segment held the highest market share in terms of revenue in 2020 and is projected to continue leading by 2030. The service segment is expected to manifest the fastest CAGR during the analysis timeframe. The report also identifies key players in the metaverse market, including Alibaba Group Holding Limited, ByteDance Ltd, Facebook, Inc., Huawei Technologies Co. Ltd., Nextech AR Solutions Inc., NVIDIA Corporation, Roblox Corporation, Shenzhen Zqgame Co., Ltd, Tencent, and Unity Technologies.</w:t>
      </w:r>
      <w:r/>
    </w:p>
    <w:p>
      <w:pPr>
        <w:pStyle w:val="ListNumber"/>
        <w:spacing w:line="240" w:lineRule="auto"/>
        <w:ind w:left="720"/>
      </w:pPr>
      <w:r/>
      <w:hyperlink r:id="rId13">
        <w:r>
          <w:rPr>
            <w:color w:val="0000EE"/>
            <w:u w:val="single"/>
          </w:rPr>
          <w:t>https://www.globenewswire.com/news-release/2023/11/14/2780283/0/en/Metaverse-Market-is-Predicted-to-Garner-1-237-Billion-by-2030-Allied-Market-Research.html</w:t>
        </w:r>
      </w:hyperlink>
      <w:r>
        <w:t xml:space="preserve"> - A report by Allied Market Research predicts that the global metaverse market will generate a revenue of $1,237 billion by 2030, up from $41.9 billion in 2020, growing at a CAGR of 40.4% over the forecast period from 2021 to 2030. The report highlights that the gaming segment accounted for the highest share in 2020 and is expected to continue this trend during the forecast period. Additionally, the content creation and social media segments are anticipated to exhibit a significant CAGR during the estimated period. Regionally, North America garnered the largest market share in 2020 and is expected to retain its position during the forecast period, while the Asia-Pacific region is projected to experience significant growth due to rapid digital transformation trends.</w:t>
      </w:r>
      <w:r/>
    </w:p>
    <w:p>
      <w:pPr>
        <w:pStyle w:val="ListNumber"/>
        <w:spacing w:line="240" w:lineRule="auto"/>
        <w:ind w:left="720"/>
      </w:pPr>
      <w:r/>
      <w:hyperlink r:id="rId14">
        <w:r>
          <w:rPr>
            <w:color w:val="0000EE"/>
            <w:u w:val="single"/>
          </w:rPr>
          <w:t>https://www.techfocusasia.com/article/849559973-growing-at-40-4-cagr-metaverse-market-reach-usd-1-237-billion-by-2030-globally</w:t>
        </w:r>
      </w:hyperlink>
      <w:r>
        <w:t xml:space="preserve"> - A report by Allied Market Research indicates that the global metaverse market was valued at USD 41.9 billion in 2020 and is projected to reach USD 1,237.0 billion by 2030, growing at a CAGR of 40.4% from 2021 to 2030. The report offers an extensive analysis of key growth strategies, drivers, opportunities, key segments, Porter's Five Forces analysis, and competitive landscape. This study serves as a helpful source of information for market players, investors, stakeholders, and new entrants to gain a thorough understanding of the industry and determine steps to gain a competitive advantage.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geek.com/web3-gaming-defi-maintain-lead-amid-digital-asset-decline/" TargetMode="External"/><Relationship Id="rId10" Type="http://schemas.openxmlformats.org/officeDocument/2006/relationships/hyperlink" Target="https://cointelegraph.com/news/web3-gaming-defi-activity-october" TargetMode="External"/><Relationship Id="rId11" Type="http://schemas.openxmlformats.org/officeDocument/2006/relationships/hyperlink" Target="https://www.alliedmarketresearch.com/press-release/metaverse-market.html" TargetMode="External"/><Relationship Id="rId12" Type="http://schemas.openxmlformats.org/officeDocument/2006/relationships/hyperlink" Target="https://www.alliedmarketresearch.com/metaverse-market-A16423" TargetMode="External"/><Relationship Id="rId13" Type="http://schemas.openxmlformats.org/officeDocument/2006/relationships/hyperlink" Target="https://www.globenewswire.com/news-release/2023/11/14/2780283/0/en/Metaverse-Market-is-Predicted-to-Garner-1-237-Billion-by-2030-Allied-Market-Research.html" TargetMode="External"/><Relationship Id="rId14" Type="http://schemas.openxmlformats.org/officeDocument/2006/relationships/hyperlink" Target="https://www.techfocusasia.com/article/849559973-growing-at-40-4-cagr-metaverse-market-reach-usd-1-237-billion-by-2030-globall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