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Australia’s new social media age verification law sets global precedent with layered privacy and compliance safeguards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On 10 December 2025 Australia’s digital regulatory landscape entered a new phase when the Online Safety Amendment (Social Media Minimum Age) Act 2024 , which received Royal Assent on 10 December 2024 , came fully into force, obliging Age-Restricted Social Media Platforms (ARSMPs) to take "reasonable steps" to prevent people under 16 from creating or maintaining accounts. According to the original report, the law moves platforms beyond self-declaration towards auditable age-assurance systems and exposes non‑compliant companies to penalties that can approach AUD 49.5–50 million. </w:t>
      </w:r>
      <w:hyperlink r:id="rId9">
        <w:r>
          <w:rPr>
            <w:color w:val="0000EE"/>
            <w:u w:val="single"/>
          </w:rPr>
          <w:t>[1]</w:t>
        </w:r>
      </w:hyperlink>
      <w:hyperlink r:id="rId10">
        <w:r>
          <w:rPr>
            <w:color w:val="0000EE"/>
            <w:u w:val="single"/>
          </w:rPr>
          <w:t>[7]</w:t>
        </w:r>
      </w:hyperlink>
      <w:hyperlink r:id="rId11">
        <w:r>
          <w:rPr>
            <w:color w:val="0000EE"/>
            <w:u w:val="single"/>
          </w:rPr>
          <w:t>[5]</w:t>
        </w:r>
      </w:hyperlink>
      <w:r/>
    </w:p>
    <w:p>
      <w:r/>
      <w:r>
        <w:t xml:space="preserve">The legislation deliberately avoids a single technical standard, instead setting a performance threshold that places the onus on platforms to design and justify their own risk‑based approaches. Industry guidance emerging from the eSafety Commissioner and outcomes of the Age Assurance Technology Trial point to a layered “Successive Validation” model: low‑friction inference methods, privacy‑preserving AI age estimation where inference is inconclusive, and hard identifier checks such as government or digital IDs reserved for high‑risk cases. The approach is intended to make compliance a continuous governance duty rather than a one‑off engineering fix. </w:t>
      </w:r>
      <w:hyperlink r:id="rId9">
        <w:r>
          <w:rPr>
            <w:color w:val="0000EE"/>
            <w:u w:val="single"/>
          </w:rPr>
          <w:t>[1]</w:t>
        </w:r>
      </w:hyperlink>
      <w:hyperlink r:id="rId12">
        <w:r>
          <w:rPr>
            <w:color w:val="0000EE"/>
            <w:u w:val="single"/>
          </w:rPr>
          <w:t>[6]</w:t>
        </w:r>
      </w:hyperlink>
      <w:hyperlink r:id="rId13">
        <w:r>
          <w:rPr>
            <w:color w:val="0000EE"/>
            <w:u w:val="single"/>
          </w:rPr>
          <w:t>[4]</w:t>
        </w:r>
      </w:hyperlink>
      <w:r/>
    </w:p>
    <w:p>
      <w:r/>
      <w:r>
        <w:t xml:space="preserve">Practically, regulators expect platforms to couple age assurance with active evasion detection. The eSafety Commissioner’s guidance makes clear that if internal signals , from interest groups to behavioural markers , suggest an account-holder is probably under 16, a platform cannot ignore those signals simply because an initial inference check passed. Industry frameworks therefore emphasise circumvention monitoring: identifying VPN use, multiple account creation, and other obvious attempts to bypass checks. Failure to couple detection with verification can itself amount to non‑compliance. </w:t>
      </w:r>
      <w:hyperlink r:id="rId9">
        <w:r>
          <w:rPr>
            <w:color w:val="0000EE"/>
            <w:u w:val="single"/>
          </w:rPr>
          <w:t>[1]</w:t>
        </w:r>
      </w:hyperlink>
      <w:hyperlink r:id="rId12">
        <w:r>
          <w:rPr>
            <w:color w:val="0000EE"/>
            <w:u w:val="single"/>
          </w:rPr>
          <w:t>[6]</w:t>
        </w:r>
      </w:hyperlink>
      <w:r/>
    </w:p>
    <w:p>
      <w:r/>
      <w:r>
        <w:t xml:space="preserve">The law also creates a privacy‑safety tension that platforms must manage carefully. Section 63F of the amendment enshrines a strict “Ringfence and Destroy” data governance regime: data collected for age assurance must be segregated from advertising and recommendation systems and be deleted once its sole purpose has been served. This requirement, and oversight by the Office of the Australian Information Commissioner, means platforms risk penalties both for insufficient age checks and for processing verification data in ways that breach privacy law. Industry guidance stresses single‑purpose handling and immediate minimisation or destruction of ID scans and biometric templates after verification. </w:t>
      </w:r>
      <w:hyperlink r:id="rId9">
        <w:r>
          <w:rPr>
            <w:color w:val="0000EE"/>
            <w:u w:val="single"/>
          </w:rPr>
          <w:t>[1]</w:t>
        </w:r>
      </w:hyperlink>
      <w:hyperlink r:id="rId14">
        <w:r>
          <w:rPr>
            <w:color w:val="0000EE"/>
            <w:u w:val="single"/>
          </w:rPr>
          <w:t>[2]</w:t>
        </w:r>
      </w:hyperlink>
      <w:hyperlink r:id="rId12">
        <w:r>
          <w:rPr>
            <w:color w:val="0000EE"/>
            <w:u w:val="single"/>
          </w:rPr>
          <w:t>[6]</w:t>
        </w:r>
      </w:hyperlink>
      <w:r/>
    </w:p>
    <w:p>
      <w:r/>
      <w:r>
        <w:t xml:space="preserve">Australia’s Digital ID framework and government statements clarify that the law does not compel users to adopt a government‑accredited Digital ID for verification; platforms must offer multiple verification options that respect privacy safeguards. According to the Digital ID System, providers are required to design verification pathways that do not force a single channel and must ensure privacy protections during the assurance process. This ensures compliance choices remain operationally flexible while respecting user rights. </w:t>
      </w:r>
      <w:hyperlink r:id="rId15">
        <w:r>
          <w:rPr>
            <w:color w:val="0000EE"/>
            <w:u w:val="single"/>
          </w:rPr>
          <w:t>[3]</w:t>
        </w:r>
      </w:hyperlink>
      <w:hyperlink r:id="rId11">
        <w:r>
          <w:rPr>
            <w:color w:val="0000EE"/>
            <w:u w:val="single"/>
          </w:rPr>
          <w:t>[5]</w:t>
        </w:r>
      </w:hyperlink>
      <w:r/>
    </w:p>
    <w:p>
      <w:r/>
      <w:r>
        <w:t xml:space="preserve">The minimum‑age law is only the most visible element of a broader enforcement program. The eSafety Commissioner’s Phase 2 industry codes expand obligations to a wider array of services , from search engines and hosting providers to messaging and gaming , and regulate exposure to Class 1C (high‑impact violence, self‑harm) and Class 2 (adult) material. Those codes roll out in tranches, with search and hosting services subject to initial duties from 27 December 2025 and social media, app stores and equipment providers facing stronger “safety by design” obligations from 9 March 2026. The objective is not only to stop under‑16s creating accounts, but to prevent children generally from encountering harmful content via search results, hosting or algorithmic recommendation. </w:t>
      </w:r>
      <w:hyperlink r:id="rId9">
        <w:r>
          <w:rPr>
            <w:color w:val="0000EE"/>
            <w:u w:val="single"/>
          </w:rPr>
          <w:t>[1]</w:t>
        </w:r>
      </w:hyperlink>
      <w:hyperlink r:id="rId12">
        <w:r>
          <w:rPr>
            <w:color w:val="0000EE"/>
            <w:u w:val="single"/>
          </w:rPr>
          <w:t>[6]</w:t>
        </w:r>
      </w:hyperlink>
      <w:hyperlink r:id="rId11">
        <w:r>
          <w:rPr>
            <w:color w:val="0000EE"/>
            <w:u w:val="single"/>
          </w:rPr>
          <w:t>[5]</w:t>
        </w:r>
      </w:hyperlink>
      <w:r/>
    </w:p>
    <w:p>
      <w:r/>
      <w:r>
        <w:t xml:space="preserve">The Australian measures form part of a growing global constellation of age‑assurance regulation , a pattern that includes the United Kingdom’s Online Safety Act obligations and elements of the EU’s Digital Services Act , and regulators elsewhere are watching implementation closely. Government and industry sources warn that a successful Australian rollout will likely accelerate similar regimes overseas and further fragment the compliance landscape, increasing the importance of cross‑jurisdictional operational planning for global platforms. Government and parliamentary materials underline the likely need for sustained investment in engineering, compliance and privacy controls to meet the combined requirements of safety, auditability and data protection. </w:t>
      </w:r>
      <w:hyperlink r:id="rId9">
        <w:r>
          <w:rPr>
            <w:color w:val="0000EE"/>
            <w:u w:val="single"/>
          </w:rPr>
          <w:t>[1]</w:t>
        </w:r>
      </w:hyperlink>
      <w:hyperlink r:id="rId13">
        <w:r>
          <w:rPr>
            <w:color w:val="0000EE"/>
            <w:u w:val="single"/>
          </w:rPr>
          <w:t>[4]</w:t>
        </w:r>
      </w:hyperlink>
      <w:hyperlink r:id="rId11">
        <w:r>
          <w:rPr>
            <w:color w:val="0000EE"/>
            <w:u w:val="single"/>
          </w:rPr>
          <w:t>[5]</w:t>
        </w:r>
      </w:hyperlink>
      <w:r/>
    </w:p>
    <w:p>
      <w:r/>
      <w:r>
        <w:t xml:space="preserve">For platforms operating in Australia, the immediate task is operational readiness: implementing layered assurance techniques; instituting robust circumvention and evasion detection; building a technical airlock that prevents verification signals leaking into profiling systems; and documenting choices for audit by the eSafety Commissioner and the OAIC. According to the original report and government guidance, treating safety as an operational value rather than a legal tick‑box will determine whether the new regime reduces harm without creating new privacy risks. </w:t>
      </w:r>
      <w:hyperlink r:id="rId9">
        <w:r>
          <w:rPr>
            <w:color w:val="0000EE"/>
            <w:u w:val="single"/>
          </w:rPr>
          <w:t>[1]</w:t>
        </w:r>
      </w:hyperlink>
      <w:hyperlink r:id="rId12">
        <w:r>
          <w:rPr>
            <w:color w:val="0000EE"/>
            <w:u w:val="single"/>
          </w:rPr>
          <w:t>[6]</w:t>
        </w:r>
      </w:hyperlink>
      <w:hyperlink r:id="rId14">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(FiscalNote blog) - Paragraph 1, Paragraph 2, Paragraph 3, Paragraph 4, Paragraph 6, Paragraph 7, Paragraph 8 </w:t>
      </w:r>
      <w:r/>
    </w:p>
    <w:p>
      <w:pPr>
        <w:pStyle w:val="ListBullet"/>
        <w:spacing w:line="240" w:lineRule="auto"/>
        <w:ind w:left="720"/>
      </w:pPr>
      <w:r/>
      <w:hyperlink r:id="rId10">
        <w:r>
          <w:rPr>
            <w:color w:val="0000EE"/>
            <w:u w:val="single"/>
          </w:rPr>
          <w:t>[7]</w:t>
        </w:r>
      </w:hyperlink>
      <w:r>
        <w:t xml:space="preserve"> (Federal Register of Legislation) - Paragraph 1 </w:t>
      </w:r>
      <w:r/>
    </w:p>
    <w:p>
      <w:pPr>
        <w:pStyle w:val="ListBullet"/>
        <w:spacing w:line="240" w:lineRule="auto"/>
        <w:ind w:left="720"/>
      </w:pPr>
      <w:r/>
      <w:hyperlink r:id="rId11">
        <w:r>
          <w:rPr>
            <w:color w:val="0000EE"/>
            <w:u w:val="single"/>
          </w:rPr>
          <w:t>[5]</w:t>
        </w:r>
      </w:hyperlink>
      <w:r>
        <w:t xml:space="preserve"> (Department of Infrastructure, Transport, Regional Development, Communications, Sport and the Arts) - Paragraph 1, Paragraph 5, Paragraph 6 </w:t>
      </w:r>
      <w:r/>
    </w:p>
    <w:p>
      <w:pPr>
        <w:pStyle w:val="ListBullet"/>
        <w:spacing w:line="240" w:lineRule="auto"/>
        <w:ind w:left="720"/>
      </w:pPr>
      <w:r/>
      <w:hyperlink r:id="rId12">
        <w:r>
          <w:rPr>
            <w:color w:val="0000EE"/>
            <w:u w:val="single"/>
          </w:rPr>
          <w:t>[6]</w:t>
        </w:r>
      </w:hyperlink>
      <w:r>
        <w:t xml:space="preserve"> (eSafety Commissioner) - Paragraph 2, Paragraph 3, Paragraph 4, Paragraph 6, Paragraph 8 </w:t>
      </w:r>
      <w:r/>
    </w:p>
    <w:p>
      <w:pPr>
        <w:pStyle w:val="ListBullet"/>
        <w:spacing w:line="240" w:lineRule="auto"/>
        <w:ind w:left="720"/>
      </w:pPr>
      <w:r/>
      <w:hyperlink r:id="rId14">
        <w:r>
          <w:rPr>
            <w:color w:val="0000EE"/>
            <w:u w:val="single"/>
          </w:rPr>
          <w:t>[2]</w:t>
        </w:r>
      </w:hyperlink>
      <w:r>
        <w:t xml:space="preserve"> (Office of the Australian Information Commissioner) - Paragraph 4, Paragraph 8 </w:t>
      </w:r>
      <w:r/>
    </w:p>
    <w:p>
      <w:pPr>
        <w:pStyle w:val="ListBullet"/>
        <w:spacing w:line="240" w:lineRule="auto"/>
        <w:ind w:left="720"/>
      </w:pPr>
      <w:r/>
      <w:hyperlink r:id="rId15">
        <w:r>
          <w:rPr>
            <w:color w:val="0000EE"/>
            <w:u w:val="single"/>
          </w:rPr>
          <w:t>[3]</w:t>
        </w:r>
      </w:hyperlink>
      <w:r>
        <w:t xml:space="preserve"> (Australian Digital ID System) - Paragraph 5 </w:t>
      </w:r>
      <w:r/>
    </w:p>
    <w:p>
      <w:pPr>
        <w:pStyle w:val="ListBullet"/>
        <w:spacing w:line="240" w:lineRule="auto"/>
        <w:ind w:left="720"/>
      </w:pPr>
      <w:r/>
      <w:hyperlink r:id="rId13">
        <w:r>
          <w:rPr>
            <w:color w:val="0000EE"/>
            <w:u w:val="single"/>
          </w:rPr>
          <w:t>[4]</w:t>
        </w:r>
      </w:hyperlink>
      <w:r>
        <w:t xml:space="preserve"> (Australian Parliament) - Paragraph 2,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https://fiscalnote.com/blog/integrating-australias-social-media-age-restriction</w:t>
        </w:r>
      </w:hyperlink>
      <w:r>
        <w:t xml:space="preserve"> - Please view link - unable to able to access data</w:t>
      </w:r>
      <w:r/>
    </w:p>
    <w:p>
      <w:pPr>
        <w:pStyle w:val="ListNumber"/>
        <w:spacing w:line="240" w:lineRule="auto"/>
        <w:ind w:left="720"/>
      </w:pPr>
      <w:r/>
      <w:hyperlink r:id="rId14">
        <w:r>
          <w:rPr>
            <w:color w:val="0000EE"/>
            <w:u w:val="single"/>
          </w:rPr>
          <w:t>https://www.oaic.gov.au/privacy/your-privacy-rights/social-media-minimum-age</w:t>
        </w:r>
      </w:hyperlink>
      <w:r>
        <w:t xml:space="preserve"> - The Office of the Australian Information Commissioner (OAIC) provides detailed information on the Social Media Minimum Age (SMMA) requirements, effective from 10 December 2025. The SMMA mandates that age-restricted social media platforms must take reasonable steps to prevent Australians under 16 from creating or maintaining accounts. This includes implementing age assurance methods to verify users' ages online. The OAIC outlines the obligations of platforms and the rights of users under this new legislation.</w:t>
      </w:r>
      <w:r/>
    </w:p>
    <w:p>
      <w:pPr>
        <w:pStyle w:val="ListNumber"/>
        <w:spacing w:line="240" w:lineRule="auto"/>
        <w:ind w:left="720"/>
      </w:pPr>
      <w:r/>
      <w:hyperlink r:id="rId15">
        <w:r>
          <w:rPr>
            <w:color w:val="0000EE"/>
            <w:u w:val="single"/>
          </w:rPr>
          <w:t>https://www.digitalidsystem.gov.au/news/social-media-minimum-age-verification-law-and-digital-id</w:t>
        </w:r>
      </w:hyperlink>
      <w:r>
        <w:t xml:space="preserve"> - The Australian Digital ID System discusses the Social Media Minimum Age Verification law, effective from 10 December 2025. The law requires social media platforms with age restrictions to prevent users under 16 from having accounts. Importantly, it clarifies that users are not compelled to use a government-accredited Digital ID for age verification. Platforms must offer multiple methods for users to confirm they are at least 16 years old, ensuring privacy protections are in place during the age assurance process.</w:t>
      </w:r>
      <w:r/>
    </w:p>
    <w:p>
      <w:pPr>
        <w:pStyle w:val="ListNumber"/>
        <w:spacing w:line="240" w:lineRule="auto"/>
        <w:ind w:left="720"/>
      </w:pPr>
      <w:r/>
      <w:hyperlink r:id="rId13">
        <w:r>
          <w:rPr>
            <w:color w:val="0000EE"/>
            <w:u w:val="single"/>
          </w:rPr>
          <w:t>https://www.aph.gov.au/Parliamentary_Business/Bills_Legislation/bd/bd2425/25bd039</w:t>
        </w:r>
      </w:hyperlink>
      <w:r>
        <w:t xml:space="preserve"> - The Australian Parliament's website provides comprehensive details on the Online Safety Amendment (Social Media Minimum Age) Bill 2024. This bill amends the Online Safety Act 2021, introducing a minimum age requirement for social media use. It places the responsibility on social media platforms to prevent users under 16 from having accounts, with penalties for non-compliance. The bill outlines the implementation timeline and the obligations of platforms to enforce age restrictions effectively.</w:t>
      </w:r>
      <w:r/>
    </w:p>
    <w:p>
      <w:pPr>
        <w:pStyle w:val="ListNumber"/>
        <w:spacing w:line="240" w:lineRule="auto"/>
        <w:ind w:left="720"/>
      </w:pPr>
      <w:r/>
      <w:hyperlink r:id="rId11">
        <w:r>
          <w:rPr>
            <w:color w:val="0000EE"/>
            <w:u w:val="single"/>
          </w:rPr>
          <w:t>https://www.infrastructure.gov.au/media-communications/internet/online-safety/social-media-minimum-age</w:t>
        </w:r>
      </w:hyperlink>
      <w:r>
        <w:t xml:space="preserve"> - The Department of Infrastructure, Transport, Regional Development, Communications, Sport and the Arts provides information on the Social Media Minimum Age legislation. Effective from 10 December 2025, this law requires age-restricted social media platforms to prevent Australians under 16 from having accounts. The department outlines the definition of age-restricted platforms, the obligations of service providers, and the enforcement mechanisms in place to ensure compliance with the new age restrictions.</w:t>
      </w:r>
      <w:r/>
    </w:p>
    <w:p>
      <w:pPr>
        <w:pStyle w:val="ListNumber"/>
        <w:spacing w:line="240" w:lineRule="auto"/>
        <w:ind w:left="720"/>
      </w:pPr>
      <w:r/>
      <w:hyperlink r:id="rId12">
        <w:r>
          <w:rPr>
            <w:color w:val="0000EE"/>
            <w:u w:val="single"/>
          </w:rPr>
          <w:t>https://www.esafety.gov.au/about-us/industry-regulation/social-media-age-restrictions</w:t>
        </w:r>
      </w:hyperlink>
      <w:r>
        <w:t xml:space="preserve"> - The eSafety Commissioner details the key measures under the new Social Media Age Restrictions law. Effective from 10 December 2025, age-restricted social media platforms must take reasonable steps to prevent Australians under 16 from having accounts. The eSafety Commissioner outlines the mandatory minimum age requirements, the penalties for non-compliance, and the regulatory guidance provided to platforms to assist in implementing age assurance methods effectively.</w:t>
      </w:r>
      <w:r/>
    </w:p>
    <w:p>
      <w:pPr>
        <w:pStyle w:val="ListNumber"/>
        <w:spacing w:line="240" w:lineRule="auto"/>
        <w:ind w:left="720"/>
      </w:pPr>
      <w:r/>
      <w:hyperlink r:id="rId10">
        <w:r>
          <w:rPr>
            <w:color w:val="0000EE"/>
            <w:u w:val="single"/>
          </w:rPr>
          <w:t>https://www.legislation.gov.au/C2024A00127/asmade/details</w:t>
        </w:r>
      </w:hyperlink>
      <w:r>
        <w:t xml:space="preserve"> - The Federal Register of Legislation provides the official text of the Online Safety Amendment (Social Media Minimum Age) Act 2024. This act amends the Online Safety Act 2021, establishing a minimum age of 16 for access to age-restricted social media platforms. It outlines the responsibilities of social media platforms to prevent users under 16 from having accounts and specifies the penalties for non-compliance, including fines up to AUD 49.5 million.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scalnote.com/blog/integrating-australias-social-media-age-restriction" TargetMode="External"/><Relationship Id="rId10" Type="http://schemas.openxmlformats.org/officeDocument/2006/relationships/hyperlink" Target="https://www.legislation.gov.au/C2024A00127/asmade/details" TargetMode="External"/><Relationship Id="rId11" Type="http://schemas.openxmlformats.org/officeDocument/2006/relationships/hyperlink" Target="https://www.infrastructure.gov.au/media-communications/internet/online-safety/social-media-minimum-age" TargetMode="External"/><Relationship Id="rId12" Type="http://schemas.openxmlformats.org/officeDocument/2006/relationships/hyperlink" Target="https://www.esafety.gov.au/about-us/industry-regulation/social-media-age-restrictions" TargetMode="External"/><Relationship Id="rId13" Type="http://schemas.openxmlformats.org/officeDocument/2006/relationships/hyperlink" Target="https://www.aph.gov.au/Parliamentary_Business/Bills_Legislation/bd/bd2425/25bd039" TargetMode="External"/><Relationship Id="rId14" Type="http://schemas.openxmlformats.org/officeDocument/2006/relationships/hyperlink" Target="https://www.oaic.gov.au/privacy/your-privacy-rights/social-media-minimum-age" TargetMode="External"/><Relationship Id="rId15" Type="http://schemas.openxmlformats.org/officeDocument/2006/relationships/hyperlink" Target="https://www.digitalidsystem.gov.au/news/social-media-minimum-age-verification-law-and-digital-i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