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Epoch AI report reveals rapid acceleration in open-source AI models closing gap on frontier benchmarks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year-end benchmarking roundup released by Epoch AI paints a picture of rapidly advancing but imperfect artificial intelligence: top-tier international models continue to push the frontier in mathematical reasoning, while open-source competitors, especially Chinese models, are narrowing the gap quickly but remain behind on the hardest problems. According to the report by 36Kr, models such as OpenAI’s GPT family and Google’s Gemini performed strongly on the expert-level FrontierMath suite, yet none achieved full marks on the most demanding problems, underlining persistent limits in deep mathematical reasoning. </w:t>
      </w:r>
      <w:hyperlink r:id="rId9">
        <w:r>
          <w:rPr>
            <w:color w:val="0000EE"/>
            <w:u w:val="single"/>
          </w:rPr>
          <w:t>[1]</w:t>
        </w:r>
      </w:hyperlink>
      <w:r/>
    </w:p>
    <w:p>
      <w:r/>
      <w:r>
        <w:t xml:space="preserve">FrontierMath, the benchmark at the heart of the evaluation, is a deliberately “guessproof” set of 350 expert-crafted problems spanning number theory, real analysis, algebraic geometry and category theory, designed to require hours or days of human-level work on some items. Epoch AI’s public documentation describes the dataset’s four-tier structure, with 300 questions in Levels 1–3 and 50 extremely difficult Level 4 problems; only a small subset of questions are public to preserve the test’s integrity. The benchmark requires models to output a Python function that returns an exact answer (typically an integer or a sympy object), and the evaluation enforces hard token and 30-second code-execution limits to ensure reproducibility on commercial hardware. According to Epoch AI, these design choices aim to make scores verifiable and resilient to simple heuristic approaches. </w:t>
      </w:r>
      <w:hyperlink r:id="rId10">
        <w:r>
          <w:rPr>
            <w:color w:val="0000EE"/>
            <w:u w:val="single"/>
          </w:rPr>
          <w:t>[2]</w:t>
        </w:r>
      </w:hyperlink>
      <w:hyperlink r:id="rId11">
        <w:r>
          <w:rPr>
            <w:color w:val="0000EE"/>
            <w:u w:val="single"/>
          </w:rPr>
          <w:t>[3]</w:t>
        </w:r>
      </w:hyperlink>
      <w:r/>
    </w:p>
    <w:p>
      <w:r/>
      <w:r>
        <w:t xml:space="preserve">On Levels 1–3 the report finds the highest-performing Chinese open-source models trailing the global frontier by roughly seven months, a gap that Epoch AI and 36Kr characterise as historically small given how recently open-source efforts lagged by years. DeepSeek V3.2 (Thinking) emerged as the only Chinese model to score non-zero on Level 4, correctly solving one of the 48 private Level 4 problems (about 2%), a result that 36Kr highlights as symbolically significant despite its small absolute value. Epoch AI’s LinkedIn post summarises this outcome and underscores that the best open-weight Chinese models are converging rapidly but still face clear challenges on genuinely frontier tasks. </w:t>
      </w:r>
      <w:hyperlink r:id="rId9">
        <w:r>
          <w:rPr>
            <w:color w:val="0000EE"/>
            <w:u w:val="single"/>
          </w:rPr>
          <w:t>[1]</w:t>
        </w:r>
      </w:hyperlink>
      <w:hyperlink r:id="rId12">
        <w:r>
          <w:rPr>
            <w:color w:val="0000EE"/>
            <w:u w:val="single"/>
          </w:rPr>
          <w:t>[7]</w:t>
        </w:r>
      </w:hyperlink>
      <w:r/>
    </w:p>
    <w:p>
      <w:r/>
      <w:r>
        <w:t xml:space="preserve">Technical explanations in the report attribute much of the narrowing gap to architectural and algorithmic advances rather than raw compute: techniques such as multi-head latent attention (MLA), innovations in mixture-of-experts (MoE) designs, and multi-token prediction allowed DeepSeek to reach pre-training parity with larger models like Meta’s Llama 3 while using an order of magnitude less compute, and its released inference model R1 performs comparably to OpenAI’s o1 at far lower development cost. Epoch AI uses third-party APIs for some evaluations and notes that API stability and interface differences can slightly depress public scores, particularly for newly released models, suggesting actual capabilities may sometimes be stronger than the published numbers indicate. </w:t>
      </w:r>
      <w:hyperlink r:id="rId9">
        <w:r>
          <w:rPr>
            <w:color w:val="0000EE"/>
            <w:u w:val="single"/>
          </w:rPr>
          <w:t>[1]</w:t>
        </w:r>
      </w:hyperlink>
      <w:hyperlink r:id="rId10">
        <w:r>
          <w:rPr>
            <w:color w:val="0000EE"/>
            <w:u w:val="single"/>
          </w:rPr>
          <w:t>[2]</w:t>
        </w:r>
      </w:hyperlink>
      <w:r/>
    </w:p>
    <w:p>
      <w:r/>
      <w:r>
        <w:t xml:space="preserve">The report also documents operational constraints on frontier models: GPT-5’s arrival in 2025 produced substantial metric gains over GPT-4 (large percentage lifts across MMLU, MATH, HumanEval and other benchmarks), but expectations were tempered by a faster release cadence and the prior market penetration of intermediate models such as Claude 3.7 and Gemini 2.5. Epoch AI further notes API reliability problems affected certain evaluations, Gemini 3 Pro lost points on multiple Tier 1–3 questions due to API errors and xAI’s Grok 4 suffered timeouts on a notable share of Tier 4 items, demonstrating that deployment stability is an increasingly important constraint on realised model performance. The report also points to OpenAI’s disclosed 2024 computing budget, where the majority of spend went to experimental training and research rather than final product runs, as evidence that R&amp;D and discovery carry the lion’s share of frontier costs. </w:t>
      </w:r>
      <w:hyperlink r:id="rId9">
        <w:r>
          <w:rPr>
            <w:color w:val="0000EE"/>
            <w:u w:val="single"/>
          </w:rPr>
          <w:t>[1]</w:t>
        </w:r>
      </w:hyperlink>
      <w:r/>
    </w:p>
    <w:p>
      <w:r/>
      <w:r>
        <w:t xml:space="preserve">Epoch AI’s capabilities index (ECI) shows an accelerating trajectory for top-tier models: the organisation identifies a breakpoint in April 2024 after which annual capability gains approximately doubled (from about 8.2 points/year to 15.3 points/year), a pattern it links to the emergence of efficient inference models and intensified reinforcement learning investment. The acceleration compresses the competitive window between closed-source frontier labs and open-source teams, increasing pressure on community projects to iterate rapidly on algorithms, data and training strategies to remain competitive. Industry-wide trends reported by Epoch AI also include dramatic inference-cost reductions, varying by task complexity from modest to exponential declines, driven by market competition and inference optimisation, though cost benefits are uneven across task types.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Taken together, the findings portray an AI landscape where capability growth is fast and broadly accessible, but where the last miles of robust mathematical reasoning and reliable deployment remain concentrated among a handful of well-resourced labs. Open-source projects and consumer-grade hardware are closing in quickly, but maintaining a durable lead will depend on sustained investment in experimentation, algorithmic innovation and production-grade stability. </w:t>
      </w:r>
      <w:hyperlink r:id="rId9">
        <w:r>
          <w:rPr>
            <w:color w:val="0000EE"/>
            <w:u w:val="single"/>
          </w:rPr>
          <w:t>[1]</w:t>
        </w:r>
      </w:hyperlink>
      <w:hyperlink r:id="rId10">
        <w:r>
          <w:rPr>
            <w:color w:val="0000EE"/>
            <w:u w:val="single"/>
          </w:rPr>
          <w:t>[2]</w:t>
        </w:r>
      </w:hyperlink>
      <w:hyperlink r:id="rId15">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(36Kr) - Paragraph 1, Paragraph 3, Paragraph 4, Paragraph 5, Paragraph 6</w:t>
      </w:r>
      <w:r/>
    </w:p>
    <w:p>
      <w:pPr>
        <w:pStyle w:val="ListBullet"/>
        <w:spacing w:line="240" w:lineRule="auto"/>
        <w:ind w:left="720"/>
      </w:pPr>
      <w:r/>
      <w:hyperlink r:id="rId10">
        <w:r>
          <w:rPr>
            <w:color w:val="0000EE"/>
            <w:u w:val="single"/>
          </w:rPr>
          <w:t>[2]</w:t>
        </w:r>
      </w:hyperlink>
      <w:r>
        <w:t xml:space="preserve"> (Epoch AI FrontierMath) - Paragraph 2, Paragraph 4, Paragraph 7</w:t>
      </w:r>
      <w:r/>
    </w:p>
    <w:p>
      <w:pPr>
        <w:pStyle w:val="ListBullet"/>
        <w:spacing w:line="240" w:lineRule="auto"/>
        <w:ind w:left="720"/>
      </w:pPr>
      <w:r/>
      <w:hyperlink r:id="rId11">
        <w:r>
          <w:rPr>
            <w:color w:val="0000EE"/>
            <w:u w:val="single"/>
          </w:rPr>
          <w:t>[3]</w:t>
        </w:r>
      </w:hyperlink>
      <w:r>
        <w:t xml:space="preserve"> (Epoch AI The Benchmark) - Paragraph 2</w:t>
      </w:r>
      <w:r/>
    </w:p>
    <w:p>
      <w:pPr>
        <w:pStyle w:val="ListBullet"/>
        <w:spacing w:line="240" w:lineRule="auto"/>
        <w:ind w:left="720"/>
      </w:pPr>
      <w:r/>
      <w:hyperlink r:id="rId15">
        <w:r>
          <w:rPr>
            <w:color w:val="0000EE"/>
            <w:u w:val="single"/>
          </w:rPr>
          <w:t>[4]</w:t>
        </w:r>
      </w:hyperlink>
      <w:r>
        <w:t xml:space="preserve"> (Epoch AI Benchmarks) - Paragraph 7</w:t>
      </w:r>
      <w:r/>
    </w:p>
    <w:p>
      <w:pPr>
        <w:pStyle w:val="ListBullet"/>
        <w:spacing w:line="240" w:lineRule="auto"/>
        <w:ind w:left="720"/>
      </w:pPr>
      <w:r/>
      <w:hyperlink r:id="rId13">
        <w:r>
          <w:rPr>
            <w:color w:val="0000EE"/>
            <w:u w:val="single"/>
          </w:rPr>
          <w:t>[5]</w:t>
        </w:r>
      </w:hyperlink>
      <w:r>
        <w:t xml:space="preserve"> (Epoch AI Benchmarks hub) - Paragraph 6</w:t>
      </w:r>
      <w:r/>
    </w:p>
    <w:p>
      <w:pPr>
        <w:pStyle w:val="ListBullet"/>
        <w:spacing w:line="240" w:lineRule="auto"/>
        <w:ind w:left="720"/>
      </w:pPr>
      <w:r/>
      <w:hyperlink r:id="rId14">
        <w:r>
          <w:rPr>
            <w:color w:val="0000EE"/>
            <w:u w:val="single"/>
          </w:rPr>
          <w:t>[6]</w:t>
        </w:r>
      </w:hyperlink>
      <w:r>
        <w:t xml:space="preserve"> (Epoch AI Blog introducing Benchmarks Dashboard) - Paragraph 6</w:t>
      </w:r>
      <w:r/>
    </w:p>
    <w:p>
      <w:pPr>
        <w:pStyle w:val="ListBullet"/>
        <w:spacing w:line="240" w:lineRule="auto"/>
        <w:ind w:left="720"/>
      </w:pPr>
      <w:r/>
      <w:hyperlink r:id="rId12">
        <w:r>
          <w:rPr>
            <w:color w:val="0000EE"/>
            <w:u w:val="single"/>
          </w:rPr>
          <w:t>[7]</w:t>
        </w:r>
      </w:hyperlink>
      <w:r>
        <w:t xml:space="preserve"> (Epoch AI LinkedIn)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https://eu.36kr.com/en/p/3610391154230534</w:t>
        </w:r>
      </w:hyperlink>
      <w:r>
        <w:t xml:space="preserve"> - Please view link - unable to able to access data</w:t>
      </w:r>
      <w:r/>
    </w:p>
    <w:p>
      <w:pPr>
        <w:pStyle w:val="ListNumber"/>
        <w:spacing w:line="240" w:lineRule="auto"/>
        <w:ind w:left="720"/>
      </w:pPr>
      <w:r/>
      <w:hyperlink r:id="rId10">
        <w:r>
          <w:rPr>
            <w:color w:val="0000EE"/>
            <w:u w:val="single"/>
          </w:rPr>
          <w:t>https://epoch.ai/benchmarks/frontiermath</w:t>
        </w:r>
      </w:hyperlink>
      <w:r>
        <w:t xml:space="preserve"> - FrontierMath is a challenging benchmark developed by Epoch AI, featuring 350 expert-crafted mathematical problems across four tiers of difficulty. It evaluates AI models' capabilities in advanced mathematics, including number theory, real analysis, algebraic geometry, and category theory. The benchmark is designed to assess models' reasoning abilities and problem-solving skills, with problems that typically require hours or days for expert mathematicians to solve. Epoch AI has used FrontierMath to evaluate various AI models, providing insights into their performance on complex mathematical tasks.</w:t>
      </w:r>
      <w:r/>
    </w:p>
    <w:p>
      <w:pPr>
        <w:pStyle w:val="ListNumber"/>
        <w:spacing w:line="240" w:lineRule="auto"/>
        <w:ind w:left="720"/>
      </w:pPr>
      <w:r/>
      <w:hyperlink r:id="rId11">
        <w:r>
          <w:rPr>
            <w:color w:val="0000EE"/>
            <w:u w:val="single"/>
          </w:rPr>
          <w:t>https://epoch.ai/frontiermath/the-benchmark</w:t>
        </w:r>
      </w:hyperlink>
      <w:r>
        <w:t xml:space="preserve"> - Epoch AI's FrontierMath benchmark comprises 350 expert-designed mathematical problems, divided into four tiers of increasing difficulty. It aims to assess AI models' proficiency in advanced mathematics, covering areas such as number theory, real analysis, algebraic geometry, and category theory. The problems are crafted to be 'guessproof,' requiring substantial mathematical work to solve. Epoch AI has utilized FrontierMath to evaluate the performance of leading AI models, offering valuable insights into their capabilities in handling complex mathematical reasoning tasks.</w:t>
      </w:r>
      <w:r/>
    </w:p>
    <w:p>
      <w:pPr>
        <w:pStyle w:val="ListNumber"/>
        <w:spacing w:line="240" w:lineRule="auto"/>
        <w:ind w:left="720"/>
      </w:pPr>
      <w:r/>
      <w:hyperlink r:id="rId15">
        <w:r>
          <w:rPr>
            <w:color w:val="0000EE"/>
            <w:u w:val="single"/>
          </w:rPr>
          <w:t>https://epoch.ai/benchmarks/search</w:t>
        </w:r>
      </w:hyperlink>
      <w:r>
        <w:t xml:space="preserve"> - Epoch AI's benchmarking platform offers evaluations across 44 distinct benchmarks, encompassing areas like mathematics, coding, and agentic action. Notable benchmarks include FrontierMath, GPQA Diamond, and OTIS Mock AIME, each designed to test AI models' performance on challenging tasks. The platform provides a comprehensive database of benchmark results, enabling users to explore trends in AI capabilities over time, by benchmark, or by model. Epoch AI's benchmarks serve as valuable tools for assessing and comparing the performance of various AI models on complex tasks.</w:t>
      </w:r>
      <w:r/>
    </w:p>
    <w:p>
      <w:pPr>
        <w:pStyle w:val="ListNumber"/>
        <w:spacing w:line="240" w:lineRule="auto"/>
        <w:ind w:left="720"/>
      </w:pPr>
      <w:r/>
      <w:hyperlink r:id="rId13">
        <w:r>
          <w:rPr>
            <w:color w:val="0000EE"/>
            <w:u w:val="single"/>
          </w:rPr>
          <w:t>https://epoch.ai/benchmarks</w:t>
        </w:r>
      </w:hyperlink>
      <w:r>
        <w:t xml:space="preserve"> - Epoch AI's benchmarking hub presents evaluations of leading AI models on challenging tasks, offering insights into trends in AI capabilities. The hub features results from various benchmarks, including FrontierMath, GPQA Diamond, and OTIS Mock AIME. Epoch AI's evaluations aim to shed light on the main trends in AI capabilities, providing clear visuals and detailed findings to help researchers, developers, and decision-makers understand current AI systems' performance and future directions.</w:t>
      </w:r>
      <w:r/>
    </w:p>
    <w:p>
      <w:pPr>
        <w:pStyle w:val="ListNumber"/>
        <w:spacing w:line="240" w:lineRule="auto"/>
        <w:ind w:left="720"/>
      </w:pPr>
      <w:r/>
      <w:hyperlink r:id="rId14">
        <w:r>
          <w:rPr>
            <w:color w:val="0000EE"/>
            <w:u w:val="single"/>
          </w:rPr>
          <w:t>https://epoch.ai/blog/introducing-benchmarks-dashboard</w:t>
        </w:r>
      </w:hyperlink>
      <w:r>
        <w:t xml:space="preserve"> - Epoch AI has launched the AI Benchmarking Hub, a platform for comprehensively understanding AI capabilities. The hub evaluates leading AI models on challenging benchmarks, including GPQA Diamond and OTIS Mock AIME. Epoch AI's goal is to track model performance on the hardest and most informative benchmarks, providing clear visuals and detailed findings to help researchers, developers, and decision-makers better understand today's AI systems and their future trajectories.</w:t>
      </w:r>
      <w:r/>
    </w:p>
    <w:p>
      <w:pPr>
        <w:pStyle w:val="ListNumber"/>
        <w:spacing w:line="240" w:lineRule="auto"/>
        <w:ind w:left="720"/>
      </w:pPr>
      <w:r/>
      <w:hyperlink r:id="rId12">
        <w:r>
          <w:rPr>
            <w:color w:val="0000EE"/>
            <w:u w:val="single"/>
          </w:rPr>
          <w:t>https://www.linkedin.com/posts/epochai_we-benchmarked-several-open-weight-chinese-activity-7408943865505742849-danG</w:t>
        </w:r>
      </w:hyperlink>
      <w:r>
        <w:t xml:space="preserve"> - Epoch AI conducted benchmarking of several open-weight Chinese models on FrontierMath. The evaluation revealed that their top scores on Tiers 1-3 lag the overall frontier by about seven months. Notably, DeepSeek-V3.2 (Thinking) achieved a non-zero score on the more challenging Tier 4, correctly answering a single problem (1/48 ≈ 2%). This assessment highlights the progress and challenges faced by Chinese models in catching up with international top-tier models in complex mathematical problem-solving tasks.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36kr.com/en/p/3610391154230534" TargetMode="External"/><Relationship Id="rId10" Type="http://schemas.openxmlformats.org/officeDocument/2006/relationships/hyperlink" Target="https://epoch.ai/benchmarks/frontiermath" TargetMode="External"/><Relationship Id="rId11" Type="http://schemas.openxmlformats.org/officeDocument/2006/relationships/hyperlink" Target="https://epoch.ai/frontiermath/the-benchmark" TargetMode="External"/><Relationship Id="rId12" Type="http://schemas.openxmlformats.org/officeDocument/2006/relationships/hyperlink" Target="https://www.linkedin.com/posts/epochai_we-benchmarked-several-open-weight-chinese-activity-7408943865505742849-danG" TargetMode="External"/><Relationship Id="rId13" Type="http://schemas.openxmlformats.org/officeDocument/2006/relationships/hyperlink" Target="https://epoch.ai/benchmarks" TargetMode="External"/><Relationship Id="rId14" Type="http://schemas.openxmlformats.org/officeDocument/2006/relationships/hyperlink" Target="https://epoch.ai/blog/introducing-benchmarks-dashboard" TargetMode="External"/><Relationship Id="rId15" Type="http://schemas.openxmlformats.org/officeDocument/2006/relationships/hyperlink" Target="https://epoch.ai/benchmarks/searc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