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Trade tensions and AI reshape global markets with new investment shifts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Global markets have been reshaped this year by a potent mix of tariff moves, geopolitical tensions and the rapid diffusion of artificial intelligence, prompting investors to rethink exposures from large-cap technology to resource and financial sectors. According to the lead analysis by Kalkine Media, these themes have driven shifts in sentiment across equities, commodities and currencies, with the ASX functioning as a useful local barometer of how policy and technology changes translate into investment flows. </w:t>
      </w:r>
      <w:hyperlink r:id="rId9">
        <w:r>
          <w:rPr>
            <w:color w:val="0000EE"/>
            <w:u w:val="single"/>
          </w:rPr>
          <w:t>[1]</w:t>
        </w:r>
      </w:hyperlink>
      <w:r/>
    </w:p>
    <w:p>
      <w:r/>
      <w:r>
        <w:t xml:space="preserve">Tariff actions and trade policy uncertainty have proved a central influence on corporate planning and investor positioning. The World Trade Organization warned that evolving U.S. tariff policies could subtract from global goods trade in 2025, while the International Monetary Fund has warned higher tariffs will boost inflationary pressure and weigh on growth, underscoring how policy uncertainty alone can erode trade and raise costs for firms. These international assessments reinforce the Kalkine Media argument that tariff measures ripple through shipping, sourcing and margins. </w:t>
      </w:r>
      <w:hyperlink r:id="rId10">
        <w:r>
          <w:rPr>
            <w:color w:val="0000EE"/>
            <w:u w:val="single"/>
          </w:rPr>
          <w:t>[2]</w:t>
        </w:r>
      </w:hyperlink>
      <w:hyperlink r:id="rId11">
        <w:r>
          <w:rPr>
            <w:color w:val="0000EE"/>
            <w:u w:val="single"/>
          </w:rPr>
          <w:t>[3]</w:t>
        </w:r>
      </w:hyperlink>
      <w:hyperlink r:id="rId9">
        <w:r>
          <w:rPr>
            <w:color w:val="0000EE"/>
            <w:u w:val="single"/>
          </w:rPr>
          <w:t>[1]</w:t>
        </w:r>
      </w:hyperlink>
      <w:r/>
    </w:p>
    <w:p>
      <w:r/>
      <w:r>
        <w:t xml:space="preserve">Longer-term research suggests the effects could be structural rather than transitory. McKinsey analysis finds trade corridors and sourcing patterns are already shifting, and in fragmentation scenarios billions of dollars of potential trade growth could be lost by 2035 if tariffs and geopolitical distance rise substantially. That broader, scenario-based view helps explain why companies are diversifying supply chains and why market participants are increasingly attentive to corridor-level risks. </w:t>
      </w:r>
      <w:hyperlink r:id="rId12">
        <w:r>
          <w:rPr>
            <w:color w:val="0000EE"/>
            <w:u w:val="single"/>
          </w:rPr>
          <w:t>[4]</w:t>
        </w:r>
      </w:hyperlink>
      <w:r/>
    </w:p>
    <w:p>
      <w:r/>
      <w:r>
        <w:t xml:space="preserve">Empirical trade flows already reflect this reorientation. McKinsey charting of recent years shows rising North American integration , notably stronger U.S.–Mexico and U.S.–Canada trade growth , alongside declines in some traditional China-linked corridors, signalling that firms and countries are actively adjusting where they buy and sell goods. Those shifts amplify the Kalkine Media point that export-heavy industries and logistics-sensitive names face heightened scrutiny. </w:t>
      </w:r>
      <w:hyperlink r:id="rId13">
        <w:r>
          <w:rPr>
            <w:color w:val="0000EE"/>
            <w:u w:val="single"/>
          </w:rPr>
          <w:t>[5]</w:t>
        </w:r>
      </w:hyperlink>
      <w:hyperlink r:id="rId9">
        <w:r>
          <w:rPr>
            <w:color w:val="0000EE"/>
            <w:u w:val="single"/>
          </w:rPr>
          <w:t>[1]</w:t>
        </w:r>
      </w:hyperlink>
      <w:r/>
    </w:p>
    <w:p>
      <w:r/>
      <w:r>
        <w:t xml:space="preserve">Geopolitical tensions have compounded those trade dynamics by elevating the attractiveness of safe-haven assets and by pressing resource security into investors’ calculus. Kalkine Media notes renewed interest in gold and other precious metals during periods of market stress, while miners and diversified resource majors on the ASX remain widely watched as barometers of global demand. At the same time, countermeasures such as export controls on critical minerals add another layer of supply-side risk. </w:t>
      </w:r>
      <w:hyperlink r:id="rId9">
        <w:r>
          <w:rPr>
            <w:color w:val="0000EE"/>
            <w:u w:val="single"/>
          </w:rPr>
          <w:t>[1]</w:t>
        </w:r>
      </w:hyperlink>
      <w:hyperlink r:id="rId14">
        <w:r>
          <w:rPr>
            <w:color w:val="0000EE"/>
            <w:u w:val="single"/>
          </w:rPr>
          <w:t>[7]</w:t>
        </w:r>
      </w:hyperlink>
      <w:r/>
    </w:p>
    <w:p>
      <w:r/>
      <w:r>
        <w:t xml:space="preserve">Against this backdrop, artificial intelligence has emerged as a dominant constructive theme, shifting from speculative hype to an operational necessity for many corporates. Industry commentary from CSIS and sector data show unprecedented AI-related capital expenditure in the United States and plans for extensive investment in data centres and cloud infrastructure, helping explain why software leaders and technology adopters , including Australian-listed platforms modernising financial and operational systems , have drawn investor attention. The result is a bifurcation: pockets of concentrated tech leadership coexisting with renewed breadth as capital rotates into financials, materials and industrials. </w:t>
      </w:r>
      <w:hyperlink r:id="rId15">
        <w:r>
          <w:rPr>
            <w:color w:val="0000EE"/>
            <w:u w:val="single"/>
          </w:rPr>
          <w:t>[6]</w:t>
        </w:r>
      </w:hyperlink>
      <w:hyperlink r:id="rId9">
        <w:r>
          <w:rPr>
            <w:color w:val="0000EE"/>
            <w:u w:val="single"/>
          </w:rPr>
          <w:t>[1]</w:t>
        </w:r>
      </w:hyperlink>
      <w:r/>
    </w:p>
    <w:p>
      <w:r/>
      <w:r>
        <w:t xml:space="preserve">The market rotation towards cyclical and smaller-cap opportunities reflects that recalibration. Kalkine Media highlights how investors are rediscovering financials, energy and mining names as they assess the real-economy implications of trade policy and infrastructure demand. McKinsey’s scenario work and trade-flow data reinforce why industrials and resource producers can gain renewed prominence as global supply chains and investment patterns are reconfigured. </w:t>
      </w:r>
      <w:hyperlink r:id="rId9">
        <w:r>
          <w:rPr>
            <w:color w:val="0000EE"/>
            <w:u w:val="single"/>
          </w:rPr>
          <w:t>[1]</w:t>
        </w:r>
      </w:hyperlink>
      <w:hyperlink r:id="rId12">
        <w:r>
          <w:rPr>
            <w:color w:val="0000EE"/>
            <w:u w:val="single"/>
          </w:rPr>
          <w:t>[4]</w:t>
        </w:r>
      </w:hyperlink>
      <w:hyperlink r:id="rId13">
        <w:r>
          <w:rPr>
            <w:color w:val="0000EE"/>
            <w:u w:val="single"/>
          </w:rPr>
          <w:t>[5]</w:t>
        </w:r>
      </w:hyperlink>
      <w:r/>
    </w:p>
    <w:p>
      <w:r/>
      <w:r>
        <w:t xml:space="preserve">Macro levers remain decisive. Central bank rate decisions continue to influence equity sentiment through borrowing costs and consumer demand, while election cycles add policy risk that can prompt defensive portfolio positioning. The IMF and WTO commentary point to a narrower margin for error: trade barriers and policy volatility risk higher inflation and slower trade,raising the premium investors demand for clarity on fiscal and regulatory direction. </w:t>
      </w:r>
      <w:hyperlink r:id="rId11">
        <w:r>
          <w:rPr>
            <w:color w:val="0000EE"/>
            <w:u w:val="single"/>
          </w:rPr>
          <w:t>[3]</w:t>
        </w:r>
      </w:hyperlink>
      <w:hyperlink r:id="rId10">
        <w:r>
          <w:rPr>
            <w:color w:val="0000EE"/>
            <w:u w:val="single"/>
          </w:rPr>
          <w:t>[2]</w:t>
        </w:r>
      </w:hyperlink>
      <w:hyperlink r:id="rId9">
        <w:r>
          <w:rPr>
            <w:color w:val="0000EE"/>
            <w:u w:val="single"/>
          </w:rPr>
          <w:t>[1]</w:t>
        </w:r>
      </w:hyperlink>
      <w:r/>
    </w:p>
    <w:p>
      <w:r/>
      <w:r>
        <w:t xml:space="preserve">For investors the practical lesson is familiar but urgent: diversification, rigorous research and scenario planning matter more when policy and technology are jointly remaking economic relationships. Kalkine Media concludes that adaptability and patient, theme-aware positioning will be key as trade policy, geopolitics and AI continue to interact , a judgement echoed by multilateral agencies and strategic consultancies that warn of material upside and downside in trade outcomes depending on policy choices. </w:t>
      </w:r>
      <w:hyperlink r:id="rId9">
        <w:r>
          <w:rPr>
            <w:color w:val="0000EE"/>
            <w:u w:val="single"/>
          </w:rPr>
          <w:t>[1]</w:t>
        </w:r>
      </w:hyperlink>
      <w:hyperlink r:id="rId10">
        <w:r>
          <w:rPr>
            <w:color w:val="0000EE"/>
            <w:u w:val="single"/>
          </w:rPr>
          <w:t>[2]</w:t>
        </w:r>
      </w:hyperlink>
      <w:hyperlink r:id="rId12">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(Kalkine Media) - Paragraph 1, Paragraph 2, Paragraph 5, Paragraph 6, Paragraph 8, Paragraph 9</w:t>
      </w:r>
      <w:r/>
    </w:p>
    <w:p>
      <w:pPr>
        <w:pStyle w:val="ListBullet"/>
        <w:spacing w:line="240" w:lineRule="auto"/>
        <w:ind w:left="720"/>
      </w:pPr>
      <w:r/>
      <w:hyperlink r:id="rId10">
        <w:r>
          <w:rPr>
            <w:color w:val="0000EE"/>
            <w:u w:val="single"/>
          </w:rPr>
          <w:t>[2]</w:t>
        </w:r>
      </w:hyperlink>
      <w:r>
        <w:t xml:space="preserve"> (AP News - WTO report) - Paragraph 2, Paragraph 8</w:t>
      </w:r>
      <w:r/>
    </w:p>
    <w:p>
      <w:pPr>
        <w:pStyle w:val="ListBullet"/>
        <w:spacing w:line="240" w:lineRule="auto"/>
        <w:ind w:left="720"/>
      </w:pPr>
      <w:r/>
      <w:hyperlink r:id="rId11">
        <w:r>
          <w:rPr>
            <w:color w:val="0000EE"/>
            <w:u w:val="single"/>
          </w:rPr>
          <w:t>[3]</w:t>
        </w:r>
      </w:hyperlink>
      <w:r>
        <w:t xml:space="preserve"> (AP News - IMF) - Paragraph 2, Paragraph 8</w:t>
      </w:r>
      <w:r/>
    </w:p>
    <w:p>
      <w:pPr>
        <w:pStyle w:val="ListBullet"/>
        <w:spacing w:line="240" w:lineRule="auto"/>
        <w:ind w:left="720"/>
      </w:pPr>
      <w:r/>
      <w:hyperlink r:id="rId12">
        <w:r>
          <w:rPr>
            <w:color w:val="0000EE"/>
            <w:u w:val="single"/>
          </w:rPr>
          <w:t>[4]</w:t>
        </w:r>
      </w:hyperlink>
      <w:r>
        <w:t xml:space="preserve"> (McKinsey - A new trade paradigm) - Paragraph 3, Paragraph 7, Paragraph 9</w:t>
      </w:r>
      <w:r/>
    </w:p>
    <w:p>
      <w:pPr>
        <w:pStyle w:val="ListBullet"/>
        <w:spacing w:line="240" w:lineRule="auto"/>
        <w:ind w:left="720"/>
      </w:pPr>
      <w:r/>
      <w:hyperlink r:id="rId13">
        <w:r>
          <w:rPr>
            <w:color w:val="0000EE"/>
            <w:u w:val="single"/>
          </w:rPr>
          <w:t>[5]</w:t>
        </w:r>
      </w:hyperlink>
      <w:r>
        <w:t xml:space="preserve"> (McKinsey - Week in charts) - Paragraph 4, Paragraph 7</w:t>
      </w:r>
      <w:r/>
    </w:p>
    <w:p>
      <w:pPr>
        <w:pStyle w:val="ListBullet"/>
        <w:spacing w:line="240" w:lineRule="auto"/>
        <w:ind w:left="720"/>
      </w:pPr>
      <w:r/>
      <w:hyperlink r:id="rId15">
        <w:r>
          <w:rPr>
            <w:color w:val="0000EE"/>
            <w:u w:val="single"/>
          </w:rPr>
          <w:t>[6]</w:t>
        </w:r>
      </w:hyperlink>
      <w:r>
        <w:t xml:space="preserve"> (CSIS) - Paragraph 6</w:t>
      </w:r>
      <w:r/>
    </w:p>
    <w:p>
      <w:pPr>
        <w:pStyle w:val="ListBullet"/>
        <w:spacing w:line="240" w:lineRule="auto"/>
        <w:ind w:left="720"/>
      </w:pPr>
      <w:r/>
      <w:hyperlink r:id="rId14">
        <w:r>
          <w:rPr>
            <w:color w:val="0000EE"/>
            <w:u w:val="single"/>
          </w:rPr>
          <w:t>[7]</w:t>
        </w:r>
      </w:hyperlink>
      <w:r>
        <w:t xml:space="preserve"> (Odgers Insights)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https://kalkinemedia.com/au/news/market-updates/discover-how-tariffs-conflict-and-ai-are-reshaping-markets</w:t>
        </w:r>
      </w:hyperlink>
      <w:r>
        <w:t xml:space="preserve"> - Please view link - unable to able to access data</w:t>
      </w:r>
      <w:r/>
    </w:p>
    <w:p>
      <w:pPr>
        <w:pStyle w:val="ListNumber"/>
        <w:spacing w:line="240" w:lineRule="auto"/>
        <w:ind w:left="720"/>
      </w:pPr>
      <w:r/>
      <w:hyperlink r:id="rId10">
        <w:r>
          <w:rPr>
            <w:color w:val="0000EE"/>
            <w:u w:val="single"/>
          </w:rPr>
          <w:t>https://apnews.com/article/0dfd480d5cee52ff39b369b7c781695d</w:t>
        </w:r>
      </w:hyperlink>
      <w:r>
        <w:t xml:space="preserve"> - The World Trade Organization (WTO) has warned that global trade in goods could decrease by 0.2% in 2025 due to U.S. President Donald Trump's evolving tariff policies and ongoing trade tensions with China. The drop could be much steeper—up to 1.5%—if the U.S. implements its most severe proposed tariffs. North America is expected to be hardest hit, with forecasts indicating a 12.6% fall in exports and a 9.6% decline in imports. Although Trump has paused the harshest tariffs for 90 days to allow negotiations with over 70 countries, he has already raised tariffs on Chinese imports to 145% and is in ongoing trade disputes with Canada and Mexico. WTO Director-General Ngozi Okonjo-Iweala and chief economist Ralph Ossa emphasized the damaging effects of trade policy uncertainty on global economic activity, especially for vulnerable economies. The WTO had initially anticipated trade growth in 2025 and 2026, but has revised expectations downward due to shifting U.S. trade policy.</w:t>
      </w:r>
      <w:r/>
    </w:p>
    <w:p>
      <w:pPr>
        <w:pStyle w:val="ListNumber"/>
        <w:spacing w:line="240" w:lineRule="auto"/>
        <w:ind w:left="720"/>
      </w:pPr>
      <w:r/>
      <w:hyperlink r:id="rId11">
        <w:r>
          <w:rPr>
            <w:color w:val="0000EE"/>
            <w:u w:val="single"/>
          </w:rPr>
          <w:t>https://apnews.com/article/d15febaaaab65c7df8538cce170231eb</w:t>
        </w:r>
      </w:hyperlink>
      <w:r>
        <w:t xml:space="preserve"> - The International Monetary Fund (IMF) has projected that the recent surge in U.S. tariffs will weaken global economic growth and push inflation higher in 2025, though it does not expect a global recession. Kristalina Georgieva, IMF Managing Director, highlighted that increased tariffs from the Trump administration have spiked uncertainty in global financial markets, particularly affecting Wall Street. She warned that trade barriers and supply chain disruptions contribute to rising costs and economic sluggishness, though domestic production gains could occur over time. Georgieva emphasized the need to reduce tariffs and revive global trade collaboration, arguing that trade imbalances fuel perceptions of unfairness. Previously, in January, the IMF forecasted global growth of 3.3% for 2025, up slightly from 3.2% in 2024, with inflation projected to decline. However, these forecasts are expected to be revised downward due to escalating trade tensions, especially between the U.S. and China. The IMF noted that Trump's tariff policies are likely to raise inflation and induce further volatility. The full updated outlook is set to be released the following Tuesday. The IMF, a 191-nation organization, continues to advocate for policies that enhance global economic stability and reduce poverty.</w:t>
      </w:r>
      <w:r/>
    </w:p>
    <w:p>
      <w:pPr>
        <w:pStyle w:val="ListNumber"/>
        <w:spacing w:line="240" w:lineRule="auto"/>
        <w:ind w:left="720"/>
      </w:pPr>
      <w:r/>
      <w:hyperlink r:id="rId12">
        <w:r>
          <w:rPr>
            <w:color w:val="0000EE"/>
            <w:u w:val="single"/>
          </w:rPr>
          <w:t>https://www.mckinsey.com/capabilities/geopolitics/our-insights/a-new-trade-paradigm-how-shifts-in-trade-corridors-could-affect-business</w:t>
        </w:r>
      </w:hyperlink>
      <w:r>
        <w:t xml:space="preserve"> - Trade routes face high variability in growth under different scenarios, with one-third of global trade potentially exposed to volatility by 2035. The global trade system is in flux. Since 2017, economies have traded less with geopolitically distant partners. Recent announcements on tariffs, trade, and industrial policy have deepened uncertainty. Trade will grow by $12 trillion by 2035 in a baseline scenario. The trade increase would boost today’s global trade value by about 35 percent, to $45 trillion. In a diversification scenario (in which companies seek new sources of supply), about $1 trillion of that growth might not be realized. In a fragmentation scenario (in which geopolitically distant economies trade less), about $3 trillion of it could be lost. Depending on the scenario, over 30 percent of global trade in 2035 could swing from one trade corridor to another. Yet we note that the metric is retrospective and does not anticipate potential shifts in geopolitical alignment, which may be dynamic and evolving. Secular changes in trade patterns can be detected through shifts in trade corridors—the connections between countries to exchange goods, services, and resources. Our research finds that in a baseline scenario with tariffs at recent historical levels, global trade of goods, services, and resources would grow by about $12 trillion in real terms to $45 trillion by 2035, up from $33 trillion in 2024. We also examine two out of many possible scenarios, both intended to bound uncertainty rather than to describe a precise future. In a fragmentation scenario, trade relationships deteriorate, and tariffs on most goods rise to 10 percent, with tariffs on critical goods traded between many advanced economies and China and Russia rising by up to 60 percent. Should that scenario unfold, about $3 trillion of the nearly $12 trillion in growth would be lost. On the other hand, in a diversification scenario, in which businesses prize resilience and diversify their suppliers, about $1 trillion in potential trade growth would be foregone.</w:t>
      </w:r>
      <w:r/>
    </w:p>
    <w:p>
      <w:pPr>
        <w:pStyle w:val="ListNumber"/>
        <w:spacing w:line="240" w:lineRule="auto"/>
        <w:ind w:left="720"/>
      </w:pPr>
      <w:r/>
      <w:hyperlink r:id="rId13">
        <w:r>
          <w:rPr>
            <w:color w:val="0000EE"/>
            <w:u w:val="single"/>
          </w:rPr>
          <w:t>https://www.mckinsey.com/featured-insights/week-in-charts/global-trade-shifts</w:t>
        </w:r>
      </w:hyperlink>
      <w:r>
        <w:t xml:space="preserve"> - Trade between Mexico and the United States rose from approximately $400 billion to $490 billion, with a compound annual growth rate (CAGR) of 10.8%. Similarly, trade between Canada and the United States increased from about $380 billion to $440 billion, with a CAGR of 7.7%. Conversely, trade between China and Hong Kong (Special Administrative Region) declined from around $350 billion to $280 billion, with a CAGR of -11.0%. These shifts highlight the dynamic nature of global trade relationships and the impact of various factors, including tariffs and geopolitical tensions, on trade volumes and growth rates.</w:t>
      </w:r>
      <w:r/>
    </w:p>
    <w:p>
      <w:pPr>
        <w:pStyle w:val="ListNumber"/>
        <w:spacing w:line="240" w:lineRule="auto"/>
        <w:ind w:left="720"/>
      </w:pPr>
      <w:r/>
      <w:hyperlink r:id="rId15">
        <w:r>
          <w:rPr>
            <w:color w:val="0000EE"/>
            <w:u w:val="single"/>
          </w:rPr>
          <w:t>https://www.csis.org/analysis/ai-needs-its-complements-investing-next-wave-innovation</w:t>
        </w:r>
      </w:hyperlink>
      <w:r>
        <w:t xml:space="preserve"> - While today’s technologies have advanced far beyond steam engines, the principles of cross-technological integration and diffusion remain just as critical. Massive Investment in Improving AI and Addressing Its Effects Is Critical. U.S. investment in AI technologies has increased to an unprecedented amount. In 2024, U.S. corporate investments reached $252.3 billion, 13 times what they were just a decade earlier. Just four U.S. companies plan to spend over $350 billion on AI-related data centers in 2025 alone. This surge underscores how central AI has become to U.S. technological competitiveness. The Trump administration has reinforced this commitment through the AI Action Plan, continued implementation of the CHIPS Act, and the U.S. Department of Energy’s vast increase in funding for AI for scientific research. In July, the Trump administration also signed an executive order to facilitate the development of AI data centers.</w:t>
      </w:r>
      <w:r/>
    </w:p>
    <w:p>
      <w:pPr>
        <w:pStyle w:val="ListNumber"/>
        <w:spacing w:line="240" w:lineRule="auto"/>
        <w:ind w:left="720"/>
      </w:pPr>
      <w:r/>
      <w:hyperlink r:id="rId14">
        <w:r>
          <w:rPr>
            <w:color w:val="0000EE"/>
            <w:u w:val="single"/>
          </w:rPr>
          <w:t>https://www.odgers.com/en-us/insights/international-trade-and-its-impact-on-global-manufacturing/</w:t>
        </w:r>
      </w:hyperlink>
      <w:r>
        <w:t xml:space="preserve"> - As of May 2025, global trade remains turbulent amid ongoing tariff conflicts and retaliatory measures, underscoring a continued shift toward protectionism. While the United States maintains a 10% baseline tariff on most imports, it has temporarily reduced tariffs on Chinese goods from 145% to 30% for a 90-day period to facilitate trade negotiations. Tariffs on Canada and Mexico remain at 25%, though exemptions apply under the USMCA, particularly for energy imports. Other key partners such as India, Japan, and South Korea face tariffs ranging from 17% to 50%. In turn, countries like China, Canada, and the European Union have enacted their own retaliatory tariffs—targeting U.S. goods from agricultural products to industrial components. China has also introduced export controls on critical minerals. These actions are intensifying supply chain disruptions, driving up costs, and pressuring inventory availability.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au/news/market-updates/discover-how-tariffs-conflict-and-ai-are-reshaping-markets" TargetMode="External"/><Relationship Id="rId10" Type="http://schemas.openxmlformats.org/officeDocument/2006/relationships/hyperlink" Target="https://apnews.com/article/0dfd480d5cee52ff39b369b7c781695d" TargetMode="External"/><Relationship Id="rId11" Type="http://schemas.openxmlformats.org/officeDocument/2006/relationships/hyperlink" Target="https://apnews.com/article/d15febaaaab65c7df8538cce170231eb" TargetMode="External"/><Relationship Id="rId12" Type="http://schemas.openxmlformats.org/officeDocument/2006/relationships/hyperlink" Target="https://www.mckinsey.com/capabilities/geopolitics/our-insights/a-new-trade-paradigm-how-shifts-in-trade-corridors-could-affect-business" TargetMode="External"/><Relationship Id="rId13" Type="http://schemas.openxmlformats.org/officeDocument/2006/relationships/hyperlink" Target="https://www.mckinsey.com/featured-insights/week-in-charts/global-trade-shifts" TargetMode="External"/><Relationship Id="rId14" Type="http://schemas.openxmlformats.org/officeDocument/2006/relationships/hyperlink" Target="https://www.odgers.com/en-us/insights/international-trade-and-its-impact-on-global-manufacturing/" TargetMode="External"/><Relationship Id="rId15" Type="http://schemas.openxmlformats.org/officeDocument/2006/relationships/hyperlink" Target="https://www.csis.org/analysis/ai-needs-its-complements-investing-next-wave-innov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