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Experimental newsroom uses AI to explore the structural roots of rising living costs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experimental newsroom has made its public debut with a live test built around a familiar economic pressure point: the rising cost of living. Rather than scripting a fixed angle, the system was fed a single breaking-news signal and left to develop its own line of inquiry through a sequence of constrained AI agents, each assigned a narrow analytical role. The result, according to the project’s authors, was not a neat verdict but a layered account that moved from basic inflation pressure to broader questions of power, labour and the politics of essentials.</w:t>
      </w:r>
      <w:r/>
    </w:p>
    <w:p>
      <w:r/>
      <w:r>
        <w:t>The experiment, called Epistemic Maturity News, is designed to resist the habits of conventional news processing, which often turns uncertainty into a tidy story too quickly. In this first live test, the system began with the obvious strain on household budgets, then widened the frame to ask whether the problem was really about prices alone or about a deeper downgrade in what now counts as a normal life. It then pushed further, questioning the fragile supports beneath that standard of living, including cheap credit, asset inflation and unpaid labour.</w:t>
      </w:r>
      <w:r/>
    </w:p>
    <w:p>
      <w:r/>
      <w:r>
        <w:t>What made the exercise notable was the way it shifted from description to structure. The analysis did not stop at the familiar complaint that essentials are becoming more expensive. It moved towards a more structural reading: that the issue is not simply what consumers pay, but how value is assigned to work, and who controls the systems that households cannot easily avoid. That logic is consistent with wider discussions of agentic AI, where researchers and policy analysts increasingly warn that more powerful systems may improve interpretation without being granted authority over judgment, truth or policy.</w:t>
      </w:r>
      <w:r/>
    </w:p>
    <w:p>
      <w:r/>
      <w:r>
        <w:t>That caution matters because the broader AI debate is moving from novelty to delegation. A recent paper on bounded, responsible AI evolution argues that organisations should add interpretive capability gradually, within existing risk and security frameworks, while keeping authority firmly human. Another academic study on automated market participation says trust in agentic systems cannot be assumed and must be built through transparency, feedback and preference alignment. A separate review of AI in daily workflows warns that easier access to machine output does not make systems more governable or more secure, especially when automation bias encourages people to defer to recommendations without adequate scrutiny.</w:t>
      </w:r>
      <w:r/>
    </w:p>
    <w:p>
      <w:r/>
      <w:r>
        <w:t>The cost-of-living backdrop makes those warnings harder to ignore. A February report cited beef prices at $240 per hundredweight, said grocery bills had jumped 0.7% in a single month and noted that food inflation remained elevated even as headline inflation cooled. It also pointed to tariff-driven cost pass-through and growing household fragility, with many Americans living paycheque to paycheque. Against that setting, the newsroom experiment’s central claim is that better media may not be the kind that resolves uncertainty fastest, but the kind that exposes how uncertainty, incentive and lived reality interact before a conclusion hardens into orthodoxy.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https://whowhatwhere.substack.com/p/a-first-live-test-of-a-new-kind-of</w:t>
        </w:r>
      </w:hyperlink>
      <w:r>
        <w:t xml:space="preserve"> - Please view link - unable to able to access data</w:t>
      </w:r>
      <w:r/>
    </w:p>
    <w:p>
      <w:pPr>
        <w:pStyle w:val="ListNumber"/>
        <w:spacing w:line="240" w:lineRule="auto"/>
        <w:ind w:left="720"/>
      </w:pPr>
      <w:r/>
      <w:hyperlink r:id="rId10">
        <w:r>
          <w:rPr>
            <w:color w:val="0000EE"/>
            <w:u w:val="single"/>
          </w:rPr>
          <w:t>https://www.govtechconnects.com/wp-content/uploads/2026/03/Preparing-for-Epistemic-Agentic-AI-Through-Responsible-Bounded-Evolution-by-Ricci-Mulligan.pdf</w:t>
        </w:r>
      </w:hyperlink>
      <w:r>
        <w:t xml:space="preserve"> - This article discusses the evolution of autonomous AI systems and their implications for government and commercial organizations. It emphasizes the need for responsible, bounded evolution in AI development, highlighting the importance of designing technology stacks that can manage increased interpretive outputs. The author suggests that organizations should onboard hybrid capabilities deliberately through existing technology risk management frameworks, cloud platforms, and security frameworks. The article also explores the technical progress behind deployed action-centric and hybrid agentic systems, focusing on areas such as graph-based representations, post-execution analytics, and cross-model synthesis. The author argues that while these advancements improve how systems represent, analyze, and explain complex environments, they do not confer authority to redefine objectives, adjudicate truth, or reformulate policy. The article concludes by emphasizing the need for organizations to evolve their technology stacks incrementally to support deeper explanation and analysis while keeping authority, judgment, and responsibility firmly human.</w:t>
      </w:r>
      <w:r/>
    </w:p>
    <w:p>
      <w:pPr>
        <w:pStyle w:val="ListNumber"/>
        <w:spacing w:line="240" w:lineRule="auto"/>
        <w:ind w:left="720"/>
      </w:pPr>
      <w:r/>
      <w:hyperlink r:id="rId13">
        <w:r>
          <w:rPr>
            <w:color w:val="0000EE"/>
            <w:u w:val="single"/>
          </w:rPr>
          <w:t>https://newzscroll.com/ta/article/ai-goes-from-experiment-to-essential-how-schools-are-making-ai-a-core-strategy-i</w:t>
        </w:r>
      </w:hyperlink>
      <w:r>
        <w:t xml:space="preserve"> - This article examines the intensifying cost of living crisis in the United States as of February 2026. It reports that beef prices have reached $240 per hundredweight, with analysts predicting further increases due to a significant decline in the cattle herd. Groceries have surged by 0.7% in December alone, marking the biggest monthly gain since 2022, while overall food prices have jumped 3.1% annually, with no relief expected until 2028. The article also discusses the impact of new tariffs imposed by the Trump administration, projected to burden households with an average of $2,100 in 2026, with businesses expected to pass 80% of costs directly to consumers. Despite official inflation moderating to 2.7% year-over-year, financial fragility has reached alarming levels, with nearly 70% of Americans now living paycheck to paycheck and 26% more consumers struggling to pay bills in January 2026 compared to two years ago.</w:t>
      </w:r>
      <w:r/>
    </w:p>
    <w:p>
      <w:pPr>
        <w:pStyle w:val="ListNumber"/>
        <w:spacing w:line="240" w:lineRule="auto"/>
        <w:ind w:left="720"/>
      </w:pPr>
      <w:r/>
      <w:hyperlink r:id="rId12">
        <w:r>
          <w:rPr>
            <w:color w:val="0000EE"/>
            <w:u w:val="single"/>
          </w:rPr>
          <w:t>https://link.springer.com/article/10.1007/s11138-025-00711-4</w:t>
        </w:r>
      </w:hyperlink>
      <w:r>
        <w:t xml:space="preserve"> - This article explores the challenges posed by automated, agentic market participation to traditional epistemological and institutional assumptions about knowledge aggregation in markets, trust establishment between human users and automated agents, and the evolution of principal-agent relationships in environments where decision-making is increasingly delegated to intelligent systems. The authors suggest that the deployment of super agents—automated systems capable of high-resolution data processing, real-time decision-making, and adaptive optimization—reconfigures the process of knowledge creation and transmission within markets, raising new questions about user trust, preference alignment, and system design. The article uses the example of transactive energy markets, such as TESS, to illustrate both the promise and complexity of this transformation. It concludes by emphasizing the need for system designers to recognize that user trust is not a given but a dynamic variable that must be cultivated through thoughtful system design, incorporating mechanisms for preference refinement, feedback loops, and transparency measures to make agentic decision-making more interpretable.</w:t>
      </w:r>
      <w:r/>
    </w:p>
    <w:p>
      <w:pPr>
        <w:pStyle w:val="ListNumber"/>
        <w:spacing w:line="240" w:lineRule="auto"/>
        <w:ind w:left="720"/>
      </w:pPr>
      <w:r/>
      <w:hyperlink r:id="rId14">
        <w:r>
          <w:rPr>
            <w:color w:val="0000EE"/>
            <w:u w:val="single"/>
          </w:rPr>
          <w:t>https://rscapital.com/2025/11/25/market-note-the-cost-of-living-in-the-age-of-ai/</w:t>
        </w:r>
      </w:hyperlink>
      <w:r>
        <w:t xml:space="preserve"> - This article discusses the persistent cost of living concerns in the United States as of November 2025, despite the cooling of headline inflation. It highlights that rent, groceries, childcare, and transportation continue to strain household budgets, especially for those without the cushion of assets. The article also addresses the distribution of household wealth, noting that while there has been a tremendous increase in household wealth over the last five years, most of these gains have accrued to the owners of assets, including stocks and real estate. The author references a Wall Street Journal article that summarizes this situation by stating, 'Feeling Great About the Economy? You Must Own Stocks.'</w:t>
      </w:r>
      <w:r/>
    </w:p>
    <w:p>
      <w:pPr>
        <w:pStyle w:val="ListNumber"/>
        <w:spacing w:line="240" w:lineRule="auto"/>
        <w:ind w:left="720"/>
      </w:pPr>
      <w:r/>
      <w:hyperlink r:id="rId15">
        <w:r>
          <w:rPr>
            <w:color w:val="0000EE"/>
            <w:u w:val="single"/>
          </w:rPr>
          <w:t>https://jmacweb.com/ai-news/daily/2026-04-11</w:t>
        </w:r>
      </w:hyperlink>
      <w:r>
        <w:t xml:space="preserve"> - This article provides a sharp, executive-grade look at the latest AI news as of April 11, 2026. It covers topics such as union strikes shaping workplace policy, intensifying governance and security tensions, and significant investments in AI infrastructure and tooling. The article presents 15 top stories that have moved the AI conversation, highlighting the convergence of policy, enterprise, and machine minds in the workday, the workshop, and the wired city. It emphasizes the question of who gets to design the rules, the tools, and the future—and at what cost to speed, safety, and imagination.</w:t>
      </w:r>
      <w:r/>
    </w:p>
    <w:p>
      <w:pPr>
        <w:pStyle w:val="ListNumber"/>
        <w:spacing w:line="240" w:lineRule="auto"/>
        <w:ind w:left="720"/>
      </w:pPr>
      <w:r/>
      <w:hyperlink r:id="rId11">
        <w:r>
          <w:rPr>
            <w:color w:val="0000EE"/>
            <w:u w:val="single"/>
          </w:rPr>
          <w:t>https://www.sciencedirect.com/science/article/pii/S2667318526000061</w:t>
        </w:r>
      </w:hyperlink>
      <w:r>
        <w:t xml:space="preserve"> - This article examines the implications of AI integration in everyday workflows, particularly in clinical diagnostics, research synthesis, education, and administrative decision-making. It discusses the shift from technological novelty to epistemic delegation, where AI tools are increasingly treated as substitutes for human judgment. The article highlights concerns about accessibility and accountability, noting that making AI models cheaper and more widespread does not automatically make them more interpretable, governable, or secure. It also addresses the issue of automation bias, where users over-rely on automated recommendations even in the face of contradictory evidence, thereby reducing independent verification and critical engagement. The article concludes by emphasizing the need for robust control mechanisms to prevent the erosion of cognitive sovereignty and to ensure that AI integration does not undermine human agency.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whatwhere.substack.com/p/a-first-live-test-of-a-new-kind-of" TargetMode="External"/><Relationship Id="rId10" Type="http://schemas.openxmlformats.org/officeDocument/2006/relationships/hyperlink" Target="https://www.govtechconnects.com/wp-content/uploads/2026/03/Preparing-for-Epistemic-Agentic-AI-Through-Responsible-Bounded-Evolution-by-Ricci-Mulligan.pdf" TargetMode="External"/><Relationship Id="rId11" Type="http://schemas.openxmlformats.org/officeDocument/2006/relationships/hyperlink" Target="https://www.sciencedirect.com/science/article/pii/S2667318526000061" TargetMode="External"/><Relationship Id="rId12" Type="http://schemas.openxmlformats.org/officeDocument/2006/relationships/hyperlink" Target="https://link.springer.com/article/10.1007/s11138-025-00711-4" TargetMode="External"/><Relationship Id="rId13" Type="http://schemas.openxmlformats.org/officeDocument/2006/relationships/hyperlink" Target="https://newzscroll.com/ta/article/ai-goes-from-experiment-to-essential-how-schools-are-making-ai-a-core-strategy-i" TargetMode="External"/><Relationship Id="rId14" Type="http://schemas.openxmlformats.org/officeDocument/2006/relationships/hyperlink" Target="https://rscapital.com/2025/11/25/market-note-the-cost-of-living-in-the-age-of-ai/" TargetMode="External"/><Relationship Id="rId15" Type="http://schemas.openxmlformats.org/officeDocument/2006/relationships/hyperlink" Target="https://jmacweb.com/ai-news/daily/2026-04-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