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AI rules spur broadcasters to clarify transparency and explainability in news media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Broadcasters are being pushed into a new phase of AI accountability as regulators sharpen their focus on transparency, explainability and editorial responsibility. A webinar scheduled for 12 May 2026 will examine how newsrooms and media companies can adapt as artificial intelligence becomes more deeply embedded in production, curation and audience engagement. The central message is clear: using AI is no longer enough; organisations must also be able to show how it works and why it was used.</w:t>
      </w:r>
      <w:r/>
    </w:p>
    <w:p>
      <w:r/>
      <w:r>
        <w:t>That shift is being driven in large part by the European Union’s Artificial Intelligence Act, which is moving towards full application in August 2026. The Act sets out a risk-based framework for AI systems and includes transparency rules that are especially relevant to broadcasters. Under its provisions, users must be told when they are interacting with an AI system unless that is obvious, while AI-generated or manipulated content must be clearly labelled so it can be recognised as synthetic.</w:t>
      </w:r>
      <w:r/>
    </w:p>
    <w:p>
      <w:r/>
      <w:r>
        <w:t>For the media sector, those obligations go beyond a simple compliance exercise. The concerns are not only about disclosure, but about the effect AI can have on public trust, political discourse and the reliability of information. The Act’s approach is designed to protect fundamental rights, including freedom of expression, non-discrimination and access to accurate information, and it places added pressure on broadcasters using AI in news distribution, moderation or politically sensitive contexts. The European Commission also launched a consultation in September 2025 to help shape guidelines and a code of practice on transparent AI systems, underscoring that the rules are still being translated into practical obligations.</w:t>
      </w:r>
      <w:r/>
    </w:p>
    <w:p>
      <w:r/>
      <w:r>
        <w:t>Even so, implementation is proving difficult. Academic work on the Act has pointed to structural gaps between legal requirements and the technical realities of modern generative AI, particularly where content must be made understandable to both people and machines. That tension is likely to be a major theme of the webinar, which will bring together legal specialists, regulators and broadcasting leaders to discuss how transparency can be built into editorial workflows without undermining speed, accuracy or human oversight. The broader challenge for broadcasters is not just meeting a deadline, but preserving audience confidence in an AI-shaped news environment.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2">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https://news.broadcastmediaafrica.com/2026/04/30/transparency-and-explainability-take-centre-stage-as-broadcasters-face-new-ai-compliance-obligations/</w:t>
        </w:r>
      </w:hyperlink>
      <w:r>
        <w:t xml:space="preserve"> - Please view link - unable to able to access data</w:t>
      </w:r>
      <w:r/>
    </w:p>
    <w:p>
      <w:pPr>
        <w:pStyle w:val="ListNumber"/>
        <w:spacing w:line="240" w:lineRule="auto"/>
        <w:ind w:left="720"/>
      </w:pPr>
      <w:r/>
      <w:hyperlink r:id="rId10">
        <w:r>
          <w:rPr>
            <w:color w:val="0000EE"/>
            <w:u w:val="single"/>
          </w:rPr>
          <w:t>https://artificialintelligenceact.eu/article/50</w:t>
        </w:r>
      </w:hyperlink>
      <w:r>
        <w:t xml:space="preserve"> - Article 50 of the EU Artificial Intelligence Act mandates that providers of AI systems intended to interact directly with natural persons must inform users when they are interacting with an AI system, unless this is obvious. Additionally, AI-generated or manipulated content must be clearly marked and detectable as artificially generated. Deployers of emotion recognition or biometric categorisation systems are required to inform individuals exposed to these systems about their operation. These obligations aim to enhance transparency and accountability in AI interactions, with full applicability expected by August 2026.</w:t>
      </w:r>
      <w:r/>
    </w:p>
    <w:p>
      <w:pPr>
        <w:pStyle w:val="ListNumber"/>
        <w:spacing w:line="240" w:lineRule="auto"/>
        <w:ind w:left="720"/>
      </w:pPr>
      <w:r/>
      <w:hyperlink r:id="rId11">
        <w:r>
          <w:rPr>
            <w:color w:val="0000EE"/>
            <w:u w:val="single"/>
          </w:rPr>
          <w:t>https://ai-act-service-desk.ec.europa.eu/en/ai-act/article-50</w:t>
        </w:r>
      </w:hyperlink>
      <w:r>
        <w:t xml:space="preserve"> - Article 50 of the EU Artificial Intelligence Act outlines transparency obligations for providers and deployers of certain AI systems. Providers must ensure that AI systems designed to interact directly with natural persons inform users of their AI nature, unless this is obvious. AI-generated or manipulated content must be clearly marked as such. Deployers of emotion recognition or biometric categorisation systems must inform individuals exposed to these systems about their operation. These requirements aim to promote transparency and accountability in AI systems, with full applicability from August 2026.</w:t>
      </w:r>
      <w:r/>
    </w:p>
    <w:p>
      <w:pPr>
        <w:pStyle w:val="ListNumber"/>
        <w:spacing w:line="240" w:lineRule="auto"/>
        <w:ind w:left="720"/>
      </w:pPr>
      <w:r/>
      <w:hyperlink r:id="rId13">
        <w:r>
          <w:rPr>
            <w:color w:val="0000EE"/>
            <w:u w:val="single"/>
          </w:rPr>
          <w:t>https://digital-strategy.ec.europa.eu/en/news/commission-launches-consultation-develop-guidelines-and-code-practice-transparent-ai-systems</w:t>
        </w:r>
      </w:hyperlink>
      <w:r>
        <w:t xml:space="preserve"> - In September 2025, the European Commission launched a consultation to develop guidelines and a code of practice on AI transparency obligations, based on the provisions of the Artificial Intelligence Act. This initiative aims to assist providers and deployers of generative AI systems in detecting and labeling AI-generated or manipulated content, ensuring users are informed when interacting with AI systems. The consultation seeks input from various stakeholders, including private and public sector organisations, academic experts, and citizens, to shape the future of AI transparency in the EU.</w:t>
      </w:r>
      <w:r/>
    </w:p>
    <w:p>
      <w:pPr>
        <w:pStyle w:val="ListNumber"/>
        <w:spacing w:line="240" w:lineRule="auto"/>
        <w:ind w:left="720"/>
      </w:pPr>
      <w:r/>
      <w:hyperlink r:id="rId12">
        <w:r>
          <w:rPr>
            <w:color w:val="0000EE"/>
            <w:u w:val="single"/>
          </w:rPr>
          <w:t>https://digital-strategy.ec.europa.eu/en/faqs/navigating-ai-act</w:t>
        </w:r>
      </w:hyperlink>
      <w:r>
        <w:t xml:space="preserve"> - The European Union's Artificial Intelligence Act (AI Act) is a comprehensive regulatory framework for AI systems, with full applicability expected by August 2026. The Act introduces rules for AI systems based on the level of risk they pose, including prohibitions, definitions, and provisions related to AI literacy. It also outlines obligations for high-risk AI systems and transparency requirements, such as labeling AI-generated content. The Act aims to balance innovation with the protection of fundamental rights, providing guidance for stakeholders implementing its requirements.</w:t>
      </w:r>
      <w:r/>
    </w:p>
    <w:p>
      <w:pPr>
        <w:pStyle w:val="ListNumber"/>
        <w:spacing w:line="240" w:lineRule="auto"/>
        <w:ind w:left="720"/>
      </w:pPr>
      <w:r/>
      <w:hyperlink r:id="rId14">
        <w:r>
          <w:rPr>
            <w:color w:val="0000EE"/>
            <w:u w:val="single"/>
          </w:rPr>
          <w:t>https://www.prokopievlaw.com/post/eu-ai-act-article-50-imposes-transparency-obligations-for-ai-generated-content-european-union-augu</w:t>
        </w:r>
      </w:hyperlink>
      <w:r>
        <w:t xml:space="preserve"> - Article 50 of the EU Artificial Intelligence Act, effective from August 2, 2026, imposes transparency obligations on AI systems that interact with natural persons and on AI-generated content. Providers must inform users when interacting with an AI system, and deployers of AI systems generating synthetic content must label such content as artificially generated or manipulated. These obligations aim to enhance transparency and accountability in AI interactions, with full applicability expected by August 2026.</w:t>
      </w:r>
      <w:r/>
    </w:p>
    <w:p>
      <w:pPr>
        <w:pStyle w:val="ListNumber"/>
        <w:spacing w:line="240" w:lineRule="auto"/>
        <w:ind w:left="720"/>
      </w:pPr>
      <w:r/>
      <w:hyperlink r:id="rId15">
        <w:r>
          <w:rPr>
            <w:color w:val="0000EE"/>
            <w:u w:val="single"/>
          </w:rPr>
          <w:t>https://arxiv.org/abs/2603.26983</w:t>
        </w:r>
      </w:hyperlink>
      <w:r>
        <w:t xml:space="preserve"> - This academic paper examines the structural compliance gaps in Article 50 II of the EU AI Act, which mandates dual transparency for AI-generated content. The authors highlight challenges in labeling AI-generated content in both human-understandable and machine-readable forms, given the current limitations of generative AI systems. They discuss issues such as the feasibility of compliance, the reliability of model behavior, and the need for interdisciplinary research to address these challenges, emphasizing the importance of treating transparency as an architectural design requirement.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broadcastmediaafrica.com/2026/04/30/transparency-and-explainability-take-centre-stage-as-broadcasters-face-new-ai-compliance-obligations/" TargetMode="External"/><Relationship Id="rId10" Type="http://schemas.openxmlformats.org/officeDocument/2006/relationships/hyperlink" Target="https://artificialintelligenceact.eu/article/50" TargetMode="External"/><Relationship Id="rId11" Type="http://schemas.openxmlformats.org/officeDocument/2006/relationships/hyperlink" Target="https://ai-act-service-desk.ec.europa.eu/en/ai-act/article-50" TargetMode="External"/><Relationship Id="rId12" Type="http://schemas.openxmlformats.org/officeDocument/2006/relationships/hyperlink" Target="https://digital-strategy.ec.europa.eu/en/faqs/navigating-ai-act" TargetMode="External"/><Relationship Id="rId13" Type="http://schemas.openxmlformats.org/officeDocument/2006/relationships/hyperlink" Target="https://digital-strategy.ec.europa.eu/en/news/commission-launches-consultation-develop-guidelines-and-code-practice-transparent-ai-systems" TargetMode="External"/><Relationship Id="rId14" Type="http://schemas.openxmlformats.org/officeDocument/2006/relationships/hyperlink" Target="https://www.prokopievlaw.com/post/eu-ai-act-article-50-imposes-transparency-obligations-for-ai-generated-content-european-union-augu" TargetMode="External"/><Relationship Id="rId15" Type="http://schemas.openxmlformats.org/officeDocument/2006/relationships/hyperlink" Target="https://arxiv.org/abs/2603.2698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