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productivity paradox hampers realising full corporate benefits, warns Hana Institute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making individual employees faster, sharper and more productive, but many firms are still struggling to turn that personal gain into stronger corporate results, according to a recent Hana Institute of Finance report. The institute described this gap as an "AI productivity paradox", arguing that enthusiasm for the technology has often outpaced the hard work of reshaping how businesses actually operate.</w:t>
      </w:r>
      <w:r/>
    </w:p>
    <w:p>
      <w:r/>
      <w:r>
        <w:t>The problem, the report says, is not that AI lacks promise. In areas such as software development, legal work and marketing, it is already helping workers produce better output in less time. PwC has gone further, estimating that AI could lift global GDP by as much as 15% by 2035, a figure that underlines why companies and investors are treating the technology as a strategic priority.</w:t>
      </w:r>
      <w:r/>
    </w:p>
    <w:p>
      <w:r/>
      <w:r>
        <w:t>But the Hana analysis says many organisations are still approaching AI as a visible add-on rather than a structural change. Executives often focus on quick demonstrations of success that are easy to present to shareholders, while leaving workflows, decision-making systems and operating models largely intact. That leaves AI tools poorly matched to day-to-day work and limits how widely employees adopt them. The report also warns that weak oversight can encourage "Shadow AI", as staff turn to unauthorised external tools without company approval.</w:t>
      </w:r>
      <w:r/>
    </w:p>
    <w:p>
      <w:r/>
      <w:r>
        <w:t>Even when AI does improve efficiency, the benefits may not show up in company accounts if the time saved is not redirected into higher-value work. Hana argues that unlocking the next stage of AI value will require more than software purchases: firms will need to redesign processes, strengthen infrastructure, reorganise teams, upgrade skills and secure active leadership from the top. In the institute's view, AI should be treated not as a one-off technology project but as a long-term overhaul of how a business functions.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https://www.koreatimes.co.kr/business/tech-science/20260503/ai-fails-to-connect-growing-worker-productivity-to-organizational-performance-report?utm_source=rss</w:t>
        </w:r>
      </w:hyperlink>
      <w:r>
        <w:t xml:space="preserve"> - Please view link - unable to able to access data</w:t>
      </w:r>
      <w:r/>
    </w:p>
    <w:p>
      <w:pPr>
        <w:pStyle w:val="ListNumber"/>
        <w:spacing w:line="240" w:lineRule="auto"/>
        <w:ind w:left="720"/>
      </w:pPr>
      <w:r/>
      <w:hyperlink r:id="rId10">
        <w:r>
          <w:rPr>
            <w:color w:val="0000EE"/>
            <w:u w:val="single"/>
          </w:rPr>
          <w:t>https://www.pwc.com/gx/en/news-room/press-releases/2025/ai-adoption-could-boost-global-gdp-by-an-additional-15-percentage.html</w:t>
        </w:r>
      </w:hyperlink>
      <w:r>
        <w:t xml:space="preserve"> - A PwC report reveals that AI could boost global GDP by up to 15% by 2035, adding one percentage point to annual growth rates, akin to the 19th-century industrialisation impact. The study highlights that responsible deployment, clear governance, and public trust are crucial for realising this potential. However, physical climate risks could reduce the global economy by nearly 7% in 2035. The report also notes that businesses are under significant pressure to reinvent their models, with $7.1 trillion in revenues expected to shift between companies in 2025 alone.</w:t>
      </w:r>
      <w:r/>
    </w:p>
    <w:p>
      <w:pPr>
        <w:pStyle w:val="ListNumber"/>
        <w:spacing w:line="240" w:lineRule="auto"/>
        <w:ind w:left="720"/>
      </w:pPr>
      <w:r/>
      <w:hyperlink r:id="rId11">
        <w:r>
          <w:rPr>
            <w:color w:val="0000EE"/>
            <w:u w:val="single"/>
          </w:rPr>
          <w:t>https://www.pwc.com/id/en/media-centre/press-release/2025/english/ai-adoption-could-boost-global-gdp-by-an-additional-15-percentage-points-by-2035-as-global-economy-is-reshaped-pwc-research.html</w:t>
        </w:r>
      </w:hyperlink>
      <w:r>
        <w:t xml:space="preserve"> - PwC's research indicates that AI adoption could increase global GDP by up to 15% by 2035, adding one percentage point to annual growth rates, similar to the 19th-century industrialisation effect. The study emphasises that this growth depends on responsible deployment, clear governance, and public trust. It also warns that physical climate risks could shrink the global economy by nearly 7% in 2035. The report highlights the need for businesses to adapt to new cross-industry ways of working to seize growth opportunities.</w:t>
      </w:r>
      <w:r/>
    </w:p>
    <w:p>
      <w:pPr>
        <w:pStyle w:val="ListNumber"/>
        <w:spacing w:line="240" w:lineRule="auto"/>
        <w:ind w:left="720"/>
      </w:pPr>
      <w:r/>
      <w:hyperlink r:id="rId12">
        <w:r>
          <w:rPr>
            <w:color w:val="0000EE"/>
            <w:u w:val="single"/>
          </w:rPr>
          <w:t>https://www.pwc.com/jp/ja/press-room/2025/value-in-motion.html</w:t>
        </w:r>
      </w:hyperlink>
      <w:r>
        <w:t xml:space="preserve"> - PwC's 'Value in Motion' report suggests that AI adoption could boost global GDP by up to 15% by 2035, adding one percentage point to annual growth rates, comparable to the 19th-century industrialisation impact. The study underscores that this potential hinges on responsible deployment, clear governance, and public trust. It also notes that physical climate risks could reduce the global economy by nearly 7% in 2035. The report calls for businesses to embrace new cross-industry collaboration to capitalise on growth opportunities.</w:t>
      </w:r>
      <w:r/>
    </w:p>
    <w:p>
      <w:pPr>
        <w:pStyle w:val="ListNumber"/>
        <w:spacing w:line="240" w:lineRule="auto"/>
        <w:ind w:left="720"/>
      </w:pPr>
      <w:r/>
      <w:hyperlink r:id="rId13">
        <w:r>
          <w:rPr>
            <w:color w:val="0000EE"/>
            <w:u w:val="single"/>
          </w:rPr>
          <w:t>https://www.pwc.com/ua/en/survey/2025/value-in-motion.html</w:t>
        </w:r>
      </w:hyperlink>
      <w:r>
        <w:t xml:space="preserve"> - PwC's 'Value in Motion' report reveals that AI adoption could boost global GDP by up to 15% by 2035, adding one percentage point to annual growth rates, similar to the 19th-century industrialisation effect. The study highlights that this growth depends on responsible deployment, clear governance, and public trust. It also warns that physical climate risks could shrink the global economy by nearly 7% in 2035. The report emphasises the need for businesses to adapt to new cross-industry ways of working to seize growth opportunities.</w:t>
      </w:r>
      <w:r/>
    </w:p>
    <w:p>
      <w:pPr>
        <w:pStyle w:val="ListNumber"/>
        <w:spacing w:line="240" w:lineRule="auto"/>
        <w:ind w:left="720"/>
      </w:pPr>
      <w:r/>
      <w:hyperlink r:id="rId14">
        <w:r>
          <w:rPr>
            <w:color w:val="0000EE"/>
            <w:u w:val="single"/>
          </w:rPr>
          <w:t>https://www.pwc.com/fr/fr/espace-presse/communiques-de-presse/2025/avril/l-adoption-de-l-ia.html</w:t>
        </w:r>
      </w:hyperlink>
      <w:r>
        <w:t xml:space="preserve"> - PwC's 'Value in Motion' report indicates that AI adoption could increase global GDP by up to 15% by 2035, adding one percentage point to annual growth rates, akin to the 19th-century industrialisation impact. The study underscores that this potential hinges on responsible deployment, clear governance, and public trust. It also notes that physical climate risks could reduce the global economy by nearly 7% in 2035. The report calls for businesses to embrace new cross-industry collaboration to capitalise on growth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business/tech-science/20260503/ai-fails-to-connect-growing-worker-productivity-to-organizational-performance-report?utm_source=rss" TargetMode="External"/><Relationship Id="rId10" Type="http://schemas.openxmlformats.org/officeDocument/2006/relationships/hyperlink" Target="https://www.pwc.com/gx/en/news-room/press-releases/2025/ai-adoption-could-boost-global-gdp-by-an-additional-15-percentage.html" TargetMode="External"/><Relationship Id="rId11" Type="http://schemas.openxmlformats.org/officeDocument/2006/relationships/hyperlink" Target="https://www.pwc.com/id/en/media-centre/press-release/2025/english/ai-adoption-could-boost-global-gdp-by-an-additional-15-percentage-points-by-2035-as-global-economy-is-reshaped-pwc-research.html" TargetMode="External"/><Relationship Id="rId12" Type="http://schemas.openxmlformats.org/officeDocument/2006/relationships/hyperlink" Target="https://www.pwc.com/jp/ja/press-room/2025/value-in-motion.html" TargetMode="External"/><Relationship Id="rId13" Type="http://schemas.openxmlformats.org/officeDocument/2006/relationships/hyperlink" Target="https://www.pwc.com/ua/en/survey/2025/value-in-motion.html" TargetMode="External"/><Relationship Id="rId14" Type="http://schemas.openxmlformats.org/officeDocument/2006/relationships/hyperlink" Target="https://www.pwc.com/fr/fr/espace-presse/communiques-de-presse/2025/avril/l-adoption-de-l-ia.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